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rsidRPr="00DE1B7C" w:rsidR="00DE1913" w:rsidRDefault="003B2B73" w14:paraId="730FA49D" w14:textId="77777777">
            <w:pPr>
              <w:widowControl w:val="0"/>
              <w:spacing w:after="0"/>
              <w:rPr>
                <w:rFonts w:ascii="Work Sans" w:hAnsi="Work Sans"/>
                <w:sz w:val="17"/>
                <w:szCs w:val="17"/>
              </w:rPr>
            </w:pPr>
            <w:r w:rsidRPr="00DE1B7C">
              <w:rPr>
                <w:rFonts w:ascii="Work Sans" w:hAnsi="Work Sans"/>
                <w:sz w:val="17"/>
                <w:szCs w:val="17"/>
              </w:rPr>
              <w:t>Código validación comunicación: cod_val_rad</w:t>
            </w:r>
          </w:p>
        </w:tc>
        <w:tc>
          <w:tcPr>
            <w:tcW w:w="5451" w:type="dxa"/>
          </w:tcPr>
          <w:p w:rsidR="00DE1913" w:rsidRDefault="003B2B73" w14:paraId="3A2B2162" w14:textId="77777777">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rsidR="00DE1913" w:rsidRDefault="003B2B73" w14:paraId="2ADCC3AD" w14:textId="77777777">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r>
            <w:r>
              <w:rPr>
                <w:rFonts w:ascii="Work Sans" w:hAnsi="Work Sans"/>
                <w:sz w:val="17"/>
                <w:szCs w:val="17"/>
                <w:lang w:val="pt-BR"/>
              </w:rPr>
              <w:t>cod_val_exp</w:t>
            </w:r>
          </w:p>
        </w:tc>
        <w:tc>
          <w:tcPr>
            <w:tcW w:w="5451" w:type="dxa"/>
          </w:tcPr>
          <w:p w:rsidR="00DE1913" w:rsidRDefault="003B2B73" w14:paraId="724B864E" w14:textId="77777777">
            <w:pPr>
              <w:widowControl w:val="0"/>
              <w:spacing w:after="0"/>
              <w:jc w:val="right"/>
              <w:rPr>
                <w:rFonts w:ascii="Work Sans" w:hAnsi="Work Sans"/>
                <w:sz w:val="17"/>
                <w:szCs w:val="17"/>
              </w:rPr>
            </w:pPr>
            <w:r>
              <w:rPr>
                <w:rFonts w:ascii="Work Sans" w:hAnsi="Work Sans" w:eastAsia="Times New Roman" w:cs="Times New Roman"/>
                <w:sz w:val="17"/>
                <w:szCs w:val="17"/>
                <w:lang w:val="pt-BR" w:eastAsia="es-ES"/>
              </w:rPr>
              <w:t>Acceso: Reservado (ac_res), Público (ac_pub), Clasificado (ac_cla)</w:t>
            </w:r>
          </w:p>
        </w:tc>
      </w:tr>
    </w:tbl>
    <w:p w:rsidR="00DE1913" w:rsidRDefault="00DE1913" w14:paraId="171D3E54" w14:textId="77777777">
      <w:pPr>
        <w:ind w:right="49"/>
        <w:rPr>
          <w:rFonts w:ascii="Work Sans ExtraLight" w:hAnsi="Work Sans ExtraLight"/>
          <w:sz w:val="16"/>
          <w:lang w:val="pt-BR"/>
        </w:rPr>
      </w:pPr>
    </w:p>
    <w:p w:rsidR="00DE1913" w:rsidRDefault="003B2B73" w14:paraId="57ECD084" w14:textId="77777777">
      <w:pPr>
        <w:spacing w:after="0"/>
        <w:rPr>
          <w:rFonts w:ascii="Work Sans" w:hAnsi="Work Sans"/>
          <w:sz w:val="24"/>
          <w:szCs w:val="24"/>
          <w:lang w:val="pt-BR"/>
        </w:rPr>
      </w:pPr>
      <w:r>
        <w:rPr>
          <w:rFonts w:ascii="Work Sans" w:hAnsi="Work Sans"/>
          <w:sz w:val="24"/>
          <w:szCs w:val="24"/>
          <w:lang w:val="pt-BR"/>
        </w:rPr>
        <w:t>Bogotá, D.C.</w:t>
      </w:r>
    </w:p>
    <w:p w:rsidR="00DE1913" w:rsidRDefault="00DE1913" w14:paraId="3308340B" w14:textId="77777777">
      <w:pPr>
        <w:spacing w:after="0"/>
        <w:rPr>
          <w:rFonts w:ascii="Work Sans" w:hAnsi="Work Sans" w:cs="Arial"/>
          <w:sz w:val="24"/>
          <w:szCs w:val="24"/>
        </w:rPr>
      </w:pPr>
    </w:p>
    <w:p w:rsidR="00DE1913" w:rsidRDefault="003B2B73" w14:paraId="5CC14689" w14:textId="77777777">
      <w:pPr>
        <w:spacing w:after="0"/>
        <w:rPr>
          <w:rFonts w:ascii="Work Sans" w:hAnsi="Work Sans"/>
          <w:sz w:val="24"/>
          <w:szCs w:val="24"/>
        </w:rPr>
      </w:pPr>
      <w:r>
        <w:rPr>
          <w:rFonts w:ascii="Work Sans" w:hAnsi="Work Sans"/>
          <w:sz w:val="24"/>
          <w:szCs w:val="24"/>
        </w:rPr>
        <w:t>encabezado</w:t>
      </w:r>
    </w:p>
    <w:p w:rsidRPr="00DE1B7C" w:rsidR="00DE1913" w:rsidRDefault="003B2B73" w14:paraId="7DBBECFA" w14:textId="77777777">
      <w:pPr>
        <w:spacing w:after="0"/>
        <w:rPr>
          <w:rFonts w:ascii="Work Sans" w:hAnsi="Work Sans"/>
          <w:sz w:val="24"/>
          <w:szCs w:val="24"/>
          <w:lang w:val="pt-BR"/>
        </w:rPr>
      </w:pPr>
      <w:r w:rsidRPr="00DE1B7C">
        <w:rPr>
          <w:rFonts w:ascii="Work Sans" w:hAnsi="Work Sans" w:cs="Arial"/>
          <w:b/>
          <w:bCs/>
          <w:sz w:val="24"/>
          <w:szCs w:val="24"/>
          <w:lang w:val="pt-BR"/>
        </w:rPr>
        <w:t>nombredestinatario</w:t>
      </w:r>
      <w:r w:rsidRPr="00DE1B7C">
        <w:rPr>
          <w:rFonts w:ascii="Work Sans" w:hAnsi="Work Sans"/>
          <w:sz w:val="24"/>
          <w:szCs w:val="24"/>
          <w:lang w:val="pt-BR"/>
        </w:rPr>
        <w:br/>
      </w:r>
      <w:r w:rsidRPr="00DE1B7C">
        <w:rPr>
          <w:rFonts w:ascii="Work Sans" w:hAnsi="Work Sans"/>
          <w:sz w:val="24"/>
          <w:szCs w:val="24"/>
          <w:lang w:val="pt-BR"/>
        </w:rPr>
        <w:t>dir_r</w:t>
      </w:r>
      <w:r w:rsidRPr="00DE1B7C">
        <w:rPr>
          <w:rFonts w:ascii="Work Sans" w:hAnsi="Work Sans"/>
          <w:sz w:val="24"/>
          <w:szCs w:val="24"/>
          <w:lang w:val="pt-BR"/>
        </w:rPr>
        <w:br/>
      </w:r>
      <w:r w:rsidRPr="00DE1B7C">
        <w:rPr>
          <w:rFonts w:ascii="Work Sans" w:hAnsi="Work Sans"/>
          <w:sz w:val="24"/>
          <w:szCs w:val="24"/>
          <w:lang w:val="pt-BR"/>
        </w:rPr>
        <w:t>muni_r depto_r</w:t>
      </w:r>
    </w:p>
    <w:p w:rsidRPr="00DE1B7C" w:rsidR="00DE1913" w:rsidRDefault="00DE1913" w14:paraId="2D7F32A6" w14:textId="77777777">
      <w:pPr>
        <w:pStyle w:val="Textoindependiente"/>
        <w:ind w:right="40"/>
        <w:rPr>
          <w:rFonts w:ascii="Work Sans" w:hAnsi="Work Sans"/>
          <w:szCs w:val="24"/>
          <w:lang w:val="pt-BR"/>
        </w:rPr>
      </w:pPr>
    </w:p>
    <w:p w:rsidR="00DE1913" w:rsidP="18E2513D" w:rsidRDefault="003B2B73" w14:paraId="03C6DFA7" w14:textId="77777777">
      <w:pPr>
        <w:pStyle w:val="Textoindependiente"/>
        <w:ind w:left="993" w:right="40" w:hanging="993"/>
        <w:rPr>
          <w:rFonts w:ascii="Work Sans" w:hAnsi="Work Sans"/>
          <w:lang w:val="es-ES"/>
        </w:rPr>
      </w:pPr>
      <w:r w:rsidRPr="18E2513D">
        <w:rPr>
          <w:rFonts w:ascii="Work Sans" w:hAnsi="Work Sans"/>
          <w:lang w:val="es-ES"/>
        </w:rPr>
        <w:t xml:space="preserve">Asunto: </w:t>
      </w:r>
      <w:r>
        <w:tab/>
      </w:r>
      <w:r w:rsidRPr="18E2513D">
        <w:rPr>
          <w:rFonts w:ascii="Work Sans" w:hAnsi="Work Sans"/>
          <w:lang w:val="es-ES"/>
        </w:rPr>
        <w:t>r_asunto</w:t>
      </w:r>
    </w:p>
    <w:p w:rsidR="00DE1913" w:rsidRDefault="00DE1913" w14:paraId="7F7EB8DF" w14:textId="77777777">
      <w:pPr>
        <w:pStyle w:val="Textoindependiente"/>
        <w:ind w:right="40"/>
        <w:rPr>
          <w:rFonts w:ascii="Work Sans" w:hAnsi="Work Sans"/>
          <w:szCs w:val="24"/>
        </w:rPr>
      </w:pPr>
    </w:p>
    <w:p w:rsidRPr="005D2BCB" w:rsidR="00DE1913" w:rsidRDefault="00A64EA5" w14:paraId="3CEFD9A3" w14:textId="27E3E161">
      <w:pPr>
        <w:spacing w:line="240" w:lineRule="auto"/>
        <w:ind w:right="51"/>
        <w:contextualSpacing/>
        <w:jc w:val="both"/>
        <w:rPr>
          <w:rFonts w:ascii="Work Sans" w:hAnsi="Work Sans" w:cs="Arial"/>
          <w:sz w:val="24"/>
        </w:rPr>
      </w:pPr>
      <w:r w:rsidRPr="005D2BCB">
        <w:rPr>
          <w:rFonts w:ascii="Work Sans" w:hAnsi="Work Sans" w:cs="Arial"/>
          <w:sz w:val="24"/>
        </w:rPr>
        <w:t xml:space="preserve">Respetado </w:t>
      </w:r>
      <w:r w:rsidR="00E92369">
        <w:rPr>
          <w:rFonts w:ascii="Work Sans" w:hAnsi="Work Sans" w:cs="Arial"/>
          <w:sz w:val="24"/>
        </w:rPr>
        <w:t>D</w:t>
      </w:r>
      <w:r w:rsidR="00756167">
        <w:rPr>
          <w:rFonts w:ascii="Work Sans" w:hAnsi="Work Sans" w:cs="Arial"/>
          <w:sz w:val="24"/>
        </w:rPr>
        <w:t>irector</w:t>
      </w:r>
      <w:r w:rsidRPr="005D2BCB">
        <w:rPr>
          <w:rFonts w:ascii="Work Sans" w:hAnsi="Work Sans" w:cs="Arial"/>
          <w:sz w:val="24"/>
        </w:rPr>
        <w:t xml:space="preserve"> </w:t>
      </w:r>
      <w:r w:rsidR="0058748E">
        <w:rPr>
          <w:rFonts w:ascii="Work Sans" w:hAnsi="Work Sans" w:cs="Arial"/>
          <w:sz w:val="24"/>
        </w:rPr>
        <w:t>Jiménez</w:t>
      </w:r>
      <w:r w:rsidRPr="005D2BCB">
        <w:rPr>
          <w:rFonts w:ascii="Work Sans" w:hAnsi="Work Sans" w:cs="Arial"/>
          <w:sz w:val="24"/>
        </w:rPr>
        <w:t>,</w:t>
      </w:r>
    </w:p>
    <w:p w:rsidR="003E7887" w:rsidP="003E7887" w:rsidRDefault="003E7887" w14:paraId="09AD59DF" w14:textId="77777777">
      <w:pPr>
        <w:spacing w:line="240" w:lineRule="auto"/>
        <w:ind w:right="51"/>
        <w:contextualSpacing/>
        <w:jc w:val="both"/>
        <w:rPr>
          <w:rFonts w:ascii="Work Sans" w:hAnsi="Work Sans" w:cs="Arial"/>
          <w:sz w:val="24"/>
        </w:rPr>
      </w:pPr>
    </w:p>
    <w:p w:rsidR="00461D0C" w:rsidP="003E7887" w:rsidRDefault="00D6473B" w14:paraId="7D9405AB" w14:textId="259E9A2C">
      <w:pPr>
        <w:spacing w:line="240" w:lineRule="auto"/>
        <w:ind w:right="51"/>
        <w:contextualSpacing/>
        <w:jc w:val="both"/>
        <w:rPr>
          <w:rFonts w:ascii="Work Sans" w:hAnsi="Work Sans"/>
          <w:sz w:val="24"/>
          <w:szCs w:val="24"/>
        </w:rPr>
      </w:pPr>
      <w:r w:rsidRPr="00D6473B">
        <w:rPr>
          <w:rFonts w:ascii="Work Sans" w:hAnsi="Work Sans"/>
          <w:sz w:val="24"/>
          <w:szCs w:val="24"/>
        </w:rPr>
        <w:t xml:space="preserve">Por medio de la presente, solicitamos respetuosamente a la Comisión de Regulación de Energía y Gas (CREG) concepto jurídico respecto de la existencia de obligaciones regulatorias relacionadas con la separación de la medición de consumos de energía eléctrica, en aquellos </w:t>
      </w:r>
      <w:r w:rsidR="00C07B2F">
        <w:rPr>
          <w:rFonts w:ascii="Work Sans" w:hAnsi="Work Sans"/>
          <w:sz w:val="24"/>
          <w:szCs w:val="24"/>
        </w:rPr>
        <w:t xml:space="preserve">casos </w:t>
      </w:r>
      <w:r w:rsidRPr="00D6473B">
        <w:rPr>
          <w:rFonts w:ascii="Work Sans" w:hAnsi="Work Sans"/>
          <w:sz w:val="24"/>
          <w:szCs w:val="24"/>
        </w:rPr>
        <w:t>en los cuales dentro de un mismo inmueble o establecimiento se desarrollen actividades sujetas a tratamientos diferenciados frente a la contribución de solidaridad prevista en el artículo 89 de la Ley 142 de 1994.</w:t>
      </w:r>
    </w:p>
    <w:p w:rsidR="00D6473B" w:rsidP="003E7887" w:rsidRDefault="00D6473B" w14:paraId="290ADEDF" w14:textId="77777777">
      <w:pPr>
        <w:spacing w:line="240" w:lineRule="auto"/>
        <w:ind w:right="51"/>
        <w:contextualSpacing/>
        <w:jc w:val="both"/>
        <w:rPr>
          <w:rFonts w:ascii="Work Sans" w:hAnsi="Work Sans" w:cs="Arial"/>
          <w:sz w:val="24"/>
        </w:rPr>
      </w:pPr>
    </w:p>
    <w:p w:rsidR="00D90B52" w:rsidP="003E7887" w:rsidRDefault="00326038" w14:paraId="2368D31D" w14:textId="754E1D6B">
      <w:pPr>
        <w:spacing w:line="240" w:lineRule="auto"/>
        <w:ind w:right="51"/>
        <w:contextualSpacing/>
        <w:jc w:val="both"/>
        <w:rPr>
          <w:rFonts w:ascii="Work Sans" w:hAnsi="Work Sans" w:cs="Arial"/>
          <w:sz w:val="24"/>
        </w:rPr>
      </w:pPr>
      <w:r>
        <w:rPr>
          <w:rFonts w:ascii="Work Sans" w:hAnsi="Work Sans" w:cs="Arial"/>
          <w:sz w:val="24"/>
        </w:rPr>
        <w:t>Lo anterior</w:t>
      </w:r>
      <w:r w:rsidR="005B1599">
        <w:rPr>
          <w:rFonts w:ascii="Work Sans" w:hAnsi="Work Sans" w:cs="Arial"/>
          <w:sz w:val="24"/>
        </w:rPr>
        <w:t>,</w:t>
      </w:r>
      <w:r>
        <w:rPr>
          <w:rFonts w:ascii="Work Sans" w:hAnsi="Work Sans" w:cs="Arial"/>
          <w:sz w:val="24"/>
        </w:rPr>
        <w:t xml:space="preserve"> teniendo en cuenta que </w:t>
      </w:r>
      <w:r w:rsidR="001B22E0">
        <w:rPr>
          <w:rFonts w:ascii="Work Sans" w:hAnsi="Work Sans" w:cs="Arial"/>
          <w:sz w:val="24"/>
        </w:rPr>
        <w:t xml:space="preserve">en </w:t>
      </w:r>
      <w:r w:rsidR="0051129D">
        <w:rPr>
          <w:rFonts w:ascii="Work Sans" w:hAnsi="Work Sans" w:cs="Arial"/>
          <w:sz w:val="24"/>
        </w:rPr>
        <w:t xml:space="preserve">el </w:t>
      </w:r>
      <w:r w:rsidR="00E972A5">
        <w:rPr>
          <w:rFonts w:ascii="Work Sans" w:hAnsi="Work Sans" w:cs="Arial"/>
          <w:sz w:val="24"/>
        </w:rPr>
        <w:t xml:space="preserve">numeral 1 del </w:t>
      </w:r>
      <w:r w:rsidR="001B22E0">
        <w:rPr>
          <w:rFonts w:ascii="Work Sans" w:hAnsi="Work Sans" w:cs="Arial"/>
          <w:sz w:val="24"/>
        </w:rPr>
        <w:t>artículo 89</w:t>
      </w:r>
      <w:r w:rsidR="00E972A5">
        <w:rPr>
          <w:rFonts w:ascii="Work Sans" w:hAnsi="Work Sans" w:cs="Arial"/>
          <w:sz w:val="24"/>
        </w:rPr>
        <w:t xml:space="preserve"> </w:t>
      </w:r>
      <w:r w:rsidR="001B22E0">
        <w:rPr>
          <w:rFonts w:ascii="Work Sans" w:hAnsi="Work Sans" w:cs="Arial"/>
          <w:sz w:val="24"/>
        </w:rPr>
        <w:t>de la Ley 142 de 1994</w:t>
      </w:r>
      <w:r w:rsidR="00D90B52">
        <w:rPr>
          <w:rFonts w:ascii="Work Sans" w:hAnsi="Work Sans" w:cs="Arial"/>
          <w:sz w:val="24"/>
        </w:rPr>
        <w:t>, establece que:</w:t>
      </w:r>
    </w:p>
    <w:p w:rsidR="00D90B52" w:rsidP="003E7887" w:rsidRDefault="00D90B52" w14:paraId="16186BE5" w14:textId="77777777">
      <w:pPr>
        <w:spacing w:line="240" w:lineRule="auto"/>
        <w:ind w:right="51"/>
        <w:contextualSpacing/>
        <w:jc w:val="both"/>
        <w:rPr>
          <w:rFonts w:ascii="Work Sans" w:hAnsi="Work Sans" w:cs="Arial"/>
          <w:sz w:val="24"/>
        </w:rPr>
      </w:pPr>
    </w:p>
    <w:p w:rsidRPr="00D90B52" w:rsidR="00D90B52" w:rsidP="00D90B52" w:rsidRDefault="00D90B52" w14:paraId="2B8AC275" w14:textId="508D63BF">
      <w:pPr>
        <w:spacing w:line="240" w:lineRule="auto"/>
        <w:ind w:left="708" w:right="51"/>
        <w:contextualSpacing/>
        <w:jc w:val="both"/>
        <w:rPr>
          <w:rFonts w:ascii="Work Sans" w:hAnsi="Work Sans" w:cs="Arial"/>
          <w:i/>
          <w:iCs/>
          <w:szCs w:val="20"/>
        </w:rPr>
      </w:pPr>
      <w:r>
        <w:rPr>
          <w:rFonts w:ascii="Work Sans" w:hAnsi="Work Sans" w:cs="Arial"/>
          <w:i/>
          <w:iCs/>
          <w:szCs w:val="20"/>
        </w:rPr>
        <w:t>“</w:t>
      </w:r>
      <w:r w:rsidRPr="00D90B52">
        <w:rPr>
          <w:rFonts w:ascii="Work Sans" w:hAnsi="Work Sans" w:cs="Arial"/>
          <w:i/>
          <w:iCs/>
          <w:szCs w:val="20"/>
        </w:rPr>
        <w:t xml:space="preserve">89.1. Se presume que el factor aludido </w:t>
      </w:r>
      <w:r w:rsidRPr="00472A63">
        <w:rPr>
          <w:rFonts w:ascii="Work Sans" w:hAnsi="Work Sans" w:cs="Arial"/>
          <w:b/>
          <w:bCs/>
          <w:i/>
          <w:iCs/>
          <w:szCs w:val="20"/>
          <w:u w:val="single"/>
        </w:rPr>
        <w:t>nunca podrá ser superior al equivalente del 20% del valor del servicio</w:t>
      </w:r>
      <w:r w:rsidRPr="00D90B52">
        <w:rPr>
          <w:rFonts w:ascii="Work Sans" w:hAnsi="Work Sans" w:cs="Arial"/>
          <w:i/>
          <w:iCs/>
          <w:szCs w:val="20"/>
        </w:rPr>
        <w:t xml:space="preserve"> y no podrán incluirse factores adicionales por concepto de ventas o consumo del usuario. Cuando comiencen a aplicarse las fórmulas tarifarias de que trata esta Ley, las comisiones sólo permitirán que el factor o factores que se han venido cobrando, se incluyan en las facturas de </w:t>
      </w:r>
      <w:r w:rsidRPr="00C67F52">
        <w:rPr>
          <w:rFonts w:ascii="Work Sans" w:hAnsi="Work Sans" w:cs="Arial"/>
          <w:b/>
          <w:bCs/>
          <w:i/>
          <w:iCs/>
          <w:szCs w:val="20"/>
          <w:u w:val="single"/>
        </w:rPr>
        <w:t xml:space="preserve">usuarios de inmuebles residenciales de </w:t>
      </w:r>
      <w:r w:rsidRPr="00C02040">
        <w:rPr>
          <w:rFonts w:ascii="Work Sans" w:hAnsi="Work Sans" w:cs="Arial"/>
          <w:b/>
          <w:bCs/>
          <w:i/>
          <w:iCs/>
          <w:szCs w:val="20"/>
          <w:u w:val="single"/>
        </w:rPr>
        <w:t>los estratos 5 y 6, y en las de los usuarios industriales y comerciales</w:t>
      </w:r>
      <w:r w:rsidRPr="00D90B52">
        <w:rPr>
          <w:rFonts w:ascii="Work Sans" w:hAnsi="Work Sans" w:cs="Arial"/>
          <w:i/>
          <w:iCs/>
          <w:szCs w:val="20"/>
        </w:rPr>
        <w:t>. Para todos estos, el factor o factores se determinará en la forma atrás dispuesta, se discriminará en las facturas, y los recaudos que con base en ellos se hagan, recibirán el destino señalado en el artículo 89.2 de esta Ley.</w:t>
      </w:r>
      <w:r>
        <w:rPr>
          <w:rFonts w:ascii="Work Sans" w:hAnsi="Work Sans" w:cs="Arial"/>
          <w:i/>
          <w:iCs/>
          <w:szCs w:val="20"/>
        </w:rPr>
        <w:t>”</w:t>
      </w:r>
      <w:r w:rsidR="009321D3">
        <w:rPr>
          <w:rFonts w:ascii="Work Sans" w:hAnsi="Work Sans" w:cs="Arial"/>
          <w:i/>
          <w:iCs/>
          <w:szCs w:val="20"/>
        </w:rPr>
        <w:t xml:space="preserve"> </w:t>
      </w:r>
      <w:r w:rsidRPr="009321D3" w:rsidR="009321D3">
        <w:rPr>
          <w:rFonts w:ascii="Work Sans" w:hAnsi="Work Sans" w:cs="Arial"/>
          <w:sz w:val="24"/>
        </w:rPr>
        <w:t>(Subrayado y negri</w:t>
      </w:r>
      <w:r w:rsidR="00AB13B0">
        <w:rPr>
          <w:rFonts w:ascii="Work Sans" w:hAnsi="Work Sans" w:cs="Arial"/>
          <w:sz w:val="24"/>
        </w:rPr>
        <w:t>t</w:t>
      </w:r>
      <w:r w:rsidRPr="009321D3" w:rsidR="009321D3">
        <w:rPr>
          <w:rFonts w:ascii="Work Sans" w:hAnsi="Work Sans" w:cs="Arial"/>
          <w:sz w:val="24"/>
        </w:rPr>
        <w:t>a fuera de texto)</w:t>
      </w:r>
      <w:r w:rsidR="009321D3">
        <w:rPr>
          <w:rFonts w:ascii="Work Sans" w:hAnsi="Work Sans" w:cs="Arial"/>
          <w:sz w:val="24"/>
        </w:rPr>
        <w:t>.</w:t>
      </w:r>
    </w:p>
    <w:p w:rsidR="005239B8" w:rsidP="003E7887" w:rsidRDefault="005239B8" w14:paraId="6ABE51FA" w14:textId="77777777">
      <w:pPr>
        <w:spacing w:line="240" w:lineRule="auto"/>
        <w:ind w:right="51"/>
        <w:contextualSpacing/>
        <w:jc w:val="both"/>
        <w:rPr>
          <w:rFonts w:ascii="Work Sans" w:hAnsi="Work Sans" w:cs="Arial"/>
          <w:sz w:val="24"/>
        </w:rPr>
      </w:pPr>
    </w:p>
    <w:p w:rsidR="003D2406" w:rsidP="003E7887" w:rsidRDefault="003D2406" w14:paraId="2CAAEF1E" w14:textId="165D8668">
      <w:pPr>
        <w:spacing w:line="240" w:lineRule="auto"/>
        <w:ind w:right="51"/>
        <w:contextualSpacing/>
        <w:jc w:val="both"/>
        <w:rPr>
          <w:rFonts w:ascii="Work Sans" w:hAnsi="Work Sans" w:cs="Arial"/>
          <w:sz w:val="24"/>
        </w:rPr>
      </w:pPr>
      <w:r w:rsidRPr="003D2406">
        <w:rPr>
          <w:rFonts w:ascii="Work Sans" w:hAnsi="Work Sans" w:cs="Arial"/>
          <w:sz w:val="24"/>
        </w:rPr>
        <w:t>Asimismo, el numeral 7 del mismo artículo dispone:</w:t>
      </w:r>
    </w:p>
    <w:p w:rsidR="0020047A" w:rsidP="003E7887" w:rsidRDefault="0020047A" w14:paraId="52BFD1C8" w14:textId="77777777">
      <w:pPr>
        <w:spacing w:line="240" w:lineRule="auto"/>
        <w:ind w:right="51"/>
        <w:contextualSpacing/>
        <w:jc w:val="both"/>
        <w:rPr>
          <w:rFonts w:ascii="Work Sans" w:hAnsi="Work Sans" w:cs="Arial"/>
          <w:sz w:val="24"/>
        </w:rPr>
      </w:pPr>
    </w:p>
    <w:p w:rsidR="003D2406" w:rsidP="003A075D" w:rsidRDefault="0020047A" w14:paraId="186B4C21" w14:textId="5B388774">
      <w:pPr>
        <w:spacing w:line="240" w:lineRule="auto"/>
        <w:ind w:left="708" w:right="51"/>
        <w:contextualSpacing/>
        <w:jc w:val="both"/>
        <w:rPr>
          <w:rFonts w:ascii="Work Sans" w:hAnsi="Work Sans" w:cs="Arial"/>
          <w:sz w:val="24"/>
        </w:rPr>
      </w:pPr>
      <w:r>
        <w:rPr>
          <w:rFonts w:ascii="Work Sans" w:hAnsi="Work Sans" w:cs="Arial"/>
          <w:i/>
          <w:iCs/>
          <w:szCs w:val="20"/>
        </w:rPr>
        <w:t>“</w:t>
      </w:r>
      <w:r w:rsidRPr="00AB1B55">
        <w:rPr>
          <w:rFonts w:ascii="Work Sans" w:hAnsi="Work Sans" w:cs="Arial"/>
          <w:i/>
          <w:iCs/>
          <w:szCs w:val="20"/>
        </w:rPr>
        <w:t xml:space="preserve">89.7. Cuando comiencen a aplicarse las fórmulas tarifarias de que trata esta Ley, </w:t>
      </w:r>
      <w:r w:rsidRPr="00AB1B55">
        <w:rPr>
          <w:rFonts w:ascii="Work Sans" w:hAnsi="Work Sans" w:cs="Arial"/>
          <w:b/>
          <w:bCs/>
          <w:i/>
          <w:iCs/>
          <w:szCs w:val="20"/>
          <w:u w:val="single"/>
        </w:rPr>
        <w:t>los puestos y centros de salud, los hospitales, clínicas y los centros educativos y asistenciales, todos los anteriores siempre y cuando sean sin ánimo de lucro, no seguirán pagando sobre el valor de sus consumos el factor o factores de que trata este Artículo</w:t>
      </w:r>
      <w:r w:rsidRPr="00AB1B55">
        <w:rPr>
          <w:rFonts w:ascii="Work Sans" w:hAnsi="Work Sans" w:cs="Arial"/>
          <w:i/>
          <w:iCs/>
          <w:szCs w:val="20"/>
        </w:rPr>
        <w:t>. Lo anterior se aplicará por solicitud de los interesados ante la respectiva entidad prestadora del servicio público. Sin excepción, siempre pagarán el valor del consumo facturado al costo del servicio</w:t>
      </w:r>
      <w:r w:rsidRPr="00AB1B55">
        <w:rPr>
          <w:rFonts w:ascii="Work Sans" w:hAnsi="Work Sans" w:cs="Arial"/>
          <w:sz w:val="24"/>
        </w:rPr>
        <w:t>.</w:t>
      </w:r>
      <w:r>
        <w:rPr>
          <w:rFonts w:ascii="Work Sans" w:hAnsi="Work Sans" w:cs="Arial"/>
          <w:sz w:val="24"/>
        </w:rPr>
        <w:t>”</w:t>
      </w:r>
      <w:r w:rsidRPr="00AB1B55">
        <w:rPr>
          <w:rFonts w:ascii="Work Sans" w:hAnsi="Work Sans" w:cs="Arial"/>
          <w:sz w:val="24"/>
        </w:rPr>
        <w:t xml:space="preserve"> </w:t>
      </w:r>
      <w:r w:rsidRPr="009321D3">
        <w:rPr>
          <w:rFonts w:ascii="Work Sans" w:hAnsi="Work Sans" w:cs="Arial"/>
          <w:sz w:val="24"/>
        </w:rPr>
        <w:t>(Subrayado y negri</w:t>
      </w:r>
      <w:r w:rsidR="00AB13B0">
        <w:rPr>
          <w:rFonts w:ascii="Work Sans" w:hAnsi="Work Sans" w:cs="Arial"/>
          <w:sz w:val="24"/>
        </w:rPr>
        <w:t>t</w:t>
      </w:r>
      <w:r w:rsidRPr="009321D3">
        <w:rPr>
          <w:rFonts w:ascii="Work Sans" w:hAnsi="Work Sans" w:cs="Arial"/>
          <w:sz w:val="24"/>
        </w:rPr>
        <w:t>a fuera de texto)</w:t>
      </w:r>
      <w:r>
        <w:rPr>
          <w:rFonts w:ascii="Work Sans" w:hAnsi="Work Sans" w:cs="Arial"/>
          <w:sz w:val="24"/>
        </w:rPr>
        <w:t>.</w:t>
      </w:r>
    </w:p>
    <w:p w:rsidR="005239B8" w:rsidP="003E7887" w:rsidRDefault="005239B8" w14:paraId="02B9B8C1" w14:textId="77777777">
      <w:pPr>
        <w:spacing w:line="240" w:lineRule="auto"/>
        <w:ind w:right="51"/>
        <w:contextualSpacing/>
        <w:jc w:val="both"/>
        <w:rPr>
          <w:rFonts w:ascii="Work Sans" w:hAnsi="Work Sans" w:cs="Arial"/>
          <w:sz w:val="24"/>
        </w:rPr>
      </w:pPr>
    </w:p>
    <w:p w:rsidR="00A82FE6" w:rsidP="00A82FE6" w:rsidRDefault="00A82FE6" w14:paraId="2D31E12D" w14:textId="77777777">
      <w:pPr>
        <w:spacing w:line="240" w:lineRule="auto"/>
        <w:ind w:right="51"/>
        <w:contextualSpacing/>
        <w:jc w:val="both"/>
        <w:rPr>
          <w:rFonts w:ascii="Work Sans" w:hAnsi="Work Sans" w:cs="Arial"/>
          <w:sz w:val="24"/>
        </w:rPr>
      </w:pPr>
      <w:r w:rsidRPr="00A82FE6">
        <w:rPr>
          <w:rFonts w:ascii="Work Sans" w:hAnsi="Work Sans" w:cs="Arial"/>
          <w:sz w:val="24"/>
        </w:rPr>
        <w:t>De igual manera, el artículo 146 de la Ley 142 de 1994 establece que:</w:t>
      </w:r>
    </w:p>
    <w:p w:rsidRPr="00A82FE6" w:rsidR="00A82FE6" w:rsidP="00A82FE6" w:rsidRDefault="00A82FE6" w14:paraId="13B11240" w14:textId="77777777">
      <w:pPr>
        <w:spacing w:line="240" w:lineRule="auto"/>
        <w:ind w:right="51"/>
        <w:contextualSpacing/>
        <w:jc w:val="both"/>
        <w:rPr>
          <w:rFonts w:ascii="Work Sans" w:hAnsi="Work Sans" w:cs="Arial"/>
          <w:sz w:val="24"/>
        </w:rPr>
      </w:pPr>
    </w:p>
    <w:p w:rsidR="00A82FE6" w:rsidP="00A82FE6" w:rsidRDefault="00A82FE6" w14:paraId="6D9850EA" w14:textId="77777777">
      <w:pPr>
        <w:spacing w:line="240" w:lineRule="auto"/>
        <w:ind w:left="708" w:right="51"/>
        <w:contextualSpacing/>
        <w:jc w:val="both"/>
        <w:rPr>
          <w:rFonts w:ascii="Work Sans" w:hAnsi="Work Sans" w:cs="Arial"/>
          <w:i/>
          <w:iCs/>
          <w:szCs w:val="20"/>
        </w:rPr>
      </w:pPr>
      <w:r w:rsidRPr="00A82FE6">
        <w:rPr>
          <w:rFonts w:ascii="Work Sans" w:hAnsi="Work Sans" w:cs="Arial"/>
          <w:i/>
          <w:iCs/>
          <w:szCs w:val="20"/>
        </w:rPr>
        <w:t>“La empresa y el suscriptor o usuario tienen derecho a que los consumos se midan; a que se empleen para ello los instrumentos de medida que la técnica haya hecho disponibles; y a que el consumo sea el elemento principal del precio que se cobre al suscriptor o usuario.”</w:t>
      </w:r>
    </w:p>
    <w:p w:rsidR="00651A6C" w:rsidP="00651A6C" w:rsidRDefault="00651A6C" w14:paraId="152C6CE9" w14:textId="77777777">
      <w:pPr>
        <w:spacing w:line="240" w:lineRule="auto"/>
        <w:ind w:right="51"/>
        <w:contextualSpacing/>
        <w:jc w:val="both"/>
        <w:rPr>
          <w:rFonts w:ascii="Work Sans" w:hAnsi="Work Sans" w:cs="Arial"/>
          <w:i/>
          <w:iCs/>
          <w:szCs w:val="20"/>
        </w:rPr>
      </w:pPr>
    </w:p>
    <w:p w:rsidR="00651A6C" w:rsidP="4DA40231" w:rsidRDefault="00D67DD2" w14:paraId="20CB2913" w14:textId="524C6836">
      <w:pPr>
        <w:spacing w:line="240" w:lineRule="auto"/>
        <w:ind w:right="51"/>
        <w:contextualSpacing/>
        <w:jc w:val="both"/>
        <w:rPr>
          <w:rFonts w:ascii="Work Sans" w:hAnsi="Work Sans" w:cs="Arial"/>
          <w:sz w:val="24"/>
          <w:szCs w:val="24"/>
        </w:rPr>
      </w:pPr>
      <w:r w:rsidRPr="4DA40231">
        <w:rPr>
          <w:rFonts w:ascii="Work Sans" w:hAnsi="Work Sans" w:cs="Arial"/>
          <w:sz w:val="24"/>
          <w:szCs w:val="24"/>
        </w:rPr>
        <w:t xml:space="preserve">Ahora bien, la CREG </w:t>
      </w:r>
      <w:r w:rsidRPr="4DA40231" w:rsidR="002E3ED6">
        <w:rPr>
          <w:rFonts w:ascii="Work Sans" w:hAnsi="Work Sans" w:cs="Arial"/>
          <w:sz w:val="24"/>
          <w:szCs w:val="24"/>
        </w:rPr>
        <w:t xml:space="preserve">estableció </w:t>
      </w:r>
      <w:r w:rsidRPr="4DA40231" w:rsidR="00E461C1">
        <w:rPr>
          <w:rFonts w:ascii="Work Sans" w:hAnsi="Work Sans" w:cs="Arial"/>
          <w:sz w:val="24"/>
          <w:szCs w:val="24"/>
        </w:rPr>
        <w:t xml:space="preserve">en el artículo 1 </w:t>
      </w:r>
      <w:r w:rsidRPr="4DA40231" w:rsidR="002E3ED6">
        <w:rPr>
          <w:rFonts w:ascii="Work Sans" w:hAnsi="Work Sans" w:cs="Arial"/>
          <w:sz w:val="24"/>
          <w:szCs w:val="24"/>
        </w:rPr>
        <w:t>la Resolución 038 de 2014</w:t>
      </w:r>
      <w:r w:rsidRPr="4DA40231" w:rsidR="006728DD">
        <w:rPr>
          <w:rFonts w:ascii="Work Sans" w:hAnsi="Work Sans" w:cs="Arial"/>
          <w:sz w:val="24"/>
          <w:szCs w:val="24"/>
        </w:rPr>
        <w:t>,</w:t>
      </w:r>
      <w:r w:rsidRPr="4DA40231" w:rsidR="002E3ED6">
        <w:rPr>
          <w:rFonts w:ascii="Work Sans" w:hAnsi="Work Sans" w:cs="Arial"/>
          <w:sz w:val="24"/>
          <w:szCs w:val="24"/>
        </w:rPr>
        <w:t xml:space="preserve"> </w:t>
      </w:r>
      <w:r w:rsidRPr="4DA40231" w:rsidR="002E3ED6">
        <w:rPr>
          <w:rFonts w:ascii="Work Sans" w:hAnsi="Work Sans" w:cs="Arial"/>
          <w:i/>
          <w:iCs/>
          <w:sz w:val="24"/>
          <w:szCs w:val="24"/>
        </w:rPr>
        <w:t>“Por la cual se modifica el Código de Medida contenido en el Anexo general del Código de Redes.”,</w:t>
      </w:r>
      <w:r w:rsidRPr="4DA40231" w:rsidR="002E3ED6">
        <w:rPr>
          <w:rFonts w:ascii="Work Sans" w:hAnsi="Work Sans" w:cs="Arial"/>
          <w:sz w:val="24"/>
          <w:szCs w:val="24"/>
        </w:rPr>
        <w:t xml:space="preserve"> que:</w:t>
      </w:r>
    </w:p>
    <w:p w:rsidR="002E3ED6" w:rsidP="00651A6C" w:rsidRDefault="002E3ED6" w14:paraId="32A73389" w14:textId="77777777">
      <w:pPr>
        <w:spacing w:line="240" w:lineRule="auto"/>
        <w:ind w:right="51"/>
        <w:contextualSpacing/>
        <w:jc w:val="both"/>
        <w:rPr>
          <w:rFonts w:ascii="Work Sans" w:hAnsi="Work Sans" w:cs="Arial"/>
          <w:sz w:val="24"/>
        </w:rPr>
      </w:pPr>
    </w:p>
    <w:p w:rsidR="001D40BC" w:rsidP="00B97679" w:rsidRDefault="00B97679" w14:paraId="1BD7FC20" w14:textId="5EA10F28">
      <w:pPr>
        <w:spacing w:line="240" w:lineRule="auto"/>
        <w:ind w:left="708" w:right="51"/>
        <w:contextualSpacing/>
        <w:jc w:val="both"/>
        <w:rPr>
          <w:rFonts w:ascii="Work Sans" w:hAnsi="Work Sans" w:cs="Arial"/>
          <w:i/>
          <w:iCs/>
          <w:szCs w:val="20"/>
        </w:rPr>
      </w:pPr>
      <w:r>
        <w:rPr>
          <w:rFonts w:ascii="Work Sans" w:hAnsi="Work Sans" w:cs="Arial"/>
          <w:i/>
          <w:iCs/>
          <w:szCs w:val="20"/>
        </w:rPr>
        <w:t>“</w:t>
      </w:r>
      <w:r w:rsidR="00225DE7">
        <w:rPr>
          <w:rFonts w:ascii="Work Sans" w:hAnsi="Work Sans" w:cs="Arial"/>
          <w:i/>
          <w:iCs/>
          <w:szCs w:val="20"/>
        </w:rPr>
        <w:t xml:space="preserve">(…) </w:t>
      </w:r>
      <w:r w:rsidRPr="003A075D">
        <w:rPr>
          <w:rFonts w:ascii="Work Sans" w:hAnsi="Work Sans" w:cs="Arial"/>
          <w:i/>
          <w:iCs/>
          <w:szCs w:val="20"/>
        </w:rPr>
        <w:t xml:space="preserve">En este </w:t>
      </w:r>
      <w:r w:rsidRPr="003A075D">
        <w:rPr>
          <w:rFonts w:ascii="Work Sans" w:hAnsi="Work Sans" w:cs="Arial"/>
          <w:b/>
          <w:bCs/>
          <w:i/>
          <w:iCs/>
          <w:szCs w:val="20"/>
          <w:u w:val="single"/>
        </w:rPr>
        <w:t>se establecen las condiciones técnicas y procedimientos que se aplican a la medición de energía</w:t>
      </w:r>
      <w:r w:rsidRPr="003A075D">
        <w:rPr>
          <w:rFonts w:ascii="Work Sans" w:hAnsi="Work Sans" w:cs="Arial"/>
          <w:i/>
          <w:iCs/>
          <w:szCs w:val="20"/>
        </w:rPr>
        <w:t xml:space="preserve"> de los intercambios comerciales en el Sistema Interconectado Nacional (SIN), los intercambios con otros países, las transacciones entre agentes y las relaciones entre agentes y usuarios. Cuando quiera que en las resoluciones expedidas por la CREG se haga referencia al “Código de Medida” se aplicará la presente resolución.</w:t>
      </w:r>
    </w:p>
    <w:p w:rsidR="001D40BC" w:rsidP="00B97679" w:rsidRDefault="001D40BC" w14:paraId="6502B8BF" w14:textId="77777777">
      <w:pPr>
        <w:spacing w:line="240" w:lineRule="auto"/>
        <w:ind w:left="708" w:right="51"/>
        <w:contextualSpacing/>
        <w:jc w:val="both"/>
        <w:rPr>
          <w:rFonts w:ascii="Work Sans" w:hAnsi="Work Sans" w:cs="Arial"/>
          <w:i/>
          <w:iCs/>
          <w:szCs w:val="20"/>
        </w:rPr>
      </w:pPr>
    </w:p>
    <w:p w:rsidR="001D40BC" w:rsidP="001D40BC" w:rsidRDefault="001D40BC" w14:paraId="573BE2AB" w14:textId="77777777">
      <w:pPr>
        <w:spacing w:line="240" w:lineRule="auto"/>
        <w:ind w:left="708" w:right="51"/>
        <w:contextualSpacing/>
        <w:jc w:val="both"/>
        <w:rPr>
          <w:rFonts w:ascii="Work Sans" w:hAnsi="Work Sans" w:cs="Arial"/>
          <w:i/>
          <w:iCs/>
          <w:szCs w:val="20"/>
        </w:rPr>
      </w:pPr>
      <w:r w:rsidRPr="001D40BC">
        <w:rPr>
          <w:rFonts w:ascii="Work Sans" w:hAnsi="Work Sans" w:cs="Arial"/>
          <w:i/>
          <w:iCs/>
          <w:szCs w:val="20"/>
        </w:rPr>
        <w:t>Esta normatividad se orienta a:</w:t>
      </w:r>
    </w:p>
    <w:p w:rsidRPr="001D40BC" w:rsidR="001D40BC" w:rsidP="001D40BC" w:rsidRDefault="001D40BC" w14:paraId="5B2195A3" w14:textId="77777777">
      <w:pPr>
        <w:spacing w:line="240" w:lineRule="auto"/>
        <w:ind w:left="708" w:right="51"/>
        <w:contextualSpacing/>
        <w:jc w:val="both"/>
        <w:rPr>
          <w:rFonts w:ascii="Work Sans" w:hAnsi="Work Sans" w:cs="Arial"/>
          <w:i/>
          <w:iCs/>
          <w:szCs w:val="20"/>
        </w:rPr>
      </w:pPr>
    </w:p>
    <w:p w:rsidR="001D40BC" w:rsidP="001D40BC" w:rsidRDefault="001D40BC" w14:paraId="2F739516" w14:textId="77777777">
      <w:pPr>
        <w:spacing w:line="240" w:lineRule="auto"/>
        <w:ind w:left="708" w:right="51"/>
        <w:contextualSpacing/>
        <w:jc w:val="both"/>
        <w:rPr>
          <w:rFonts w:ascii="Work Sans" w:hAnsi="Work Sans" w:cs="Arial"/>
          <w:i/>
          <w:iCs/>
          <w:szCs w:val="20"/>
        </w:rPr>
      </w:pPr>
      <w:r w:rsidRPr="001D40BC">
        <w:rPr>
          <w:rFonts w:ascii="Work Sans" w:hAnsi="Work Sans" w:cs="Arial"/>
          <w:i/>
          <w:iCs/>
          <w:szCs w:val="20"/>
        </w:rPr>
        <w:t xml:space="preserve">a) </w:t>
      </w:r>
      <w:r w:rsidRPr="003A075D">
        <w:rPr>
          <w:rFonts w:ascii="Work Sans" w:hAnsi="Work Sans" w:cs="Arial"/>
          <w:b/>
          <w:bCs/>
          <w:i/>
          <w:iCs/>
          <w:szCs w:val="20"/>
          <w:u w:val="single"/>
        </w:rPr>
        <w:t>Definir las características técnicas que deben cumplir los sistemas de medición para que el registro de los flujos de energía</w:t>
      </w:r>
      <w:r w:rsidRPr="001D40BC">
        <w:rPr>
          <w:rFonts w:ascii="Work Sans" w:hAnsi="Work Sans" w:cs="Arial"/>
          <w:i/>
          <w:iCs/>
          <w:szCs w:val="20"/>
        </w:rPr>
        <w:t xml:space="preserve"> se realice bajo condiciones que permitan determinar adecuadamente las transacciones entre los agentes que participan en el Mercado de Energía Mayorista (MEM) y entre estos y los usuarios finales, así como los flujos en los sistemas de transmisión y distribución.</w:t>
      </w:r>
    </w:p>
    <w:p w:rsidRPr="001D40BC" w:rsidR="001D40BC" w:rsidP="001D40BC" w:rsidRDefault="001D40BC" w14:paraId="5DDD276E" w14:textId="77777777">
      <w:pPr>
        <w:spacing w:line="240" w:lineRule="auto"/>
        <w:ind w:left="708" w:right="51"/>
        <w:contextualSpacing/>
        <w:jc w:val="both"/>
        <w:rPr>
          <w:rFonts w:ascii="Work Sans" w:hAnsi="Work Sans" w:cs="Arial"/>
          <w:i/>
          <w:iCs/>
          <w:szCs w:val="20"/>
        </w:rPr>
      </w:pPr>
    </w:p>
    <w:p w:rsidR="001D40BC" w:rsidP="001D40BC" w:rsidRDefault="001D40BC" w14:paraId="002B341A" w14:textId="77777777">
      <w:pPr>
        <w:spacing w:line="240" w:lineRule="auto"/>
        <w:ind w:left="708" w:right="51"/>
        <w:contextualSpacing/>
        <w:jc w:val="both"/>
        <w:rPr>
          <w:rFonts w:ascii="Work Sans" w:hAnsi="Work Sans" w:cs="Arial"/>
          <w:i/>
          <w:iCs/>
          <w:szCs w:val="20"/>
        </w:rPr>
      </w:pPr>
      <w:r w:rsidRPr="001D40BC">
        <w:rPr>
          <w:rFonts w:ascii="Work Sans" w:hAnsi="Work Sans" w:cs="Arial"/>
          <w:i/>
          <w:iCs/>
          <w:szCs w:val="20"/>
        </w:rPr>
        <w:t>b) Establecer los requerimientos que deben cumplir los componentes del sistema de medición en relación con la exactitud, certificación de conformidad de producto, instalación, pruebas, calibración, operación, mantenimiento y protección del mismo.</w:t>
      </w:r>
    </w:p>
    <w:p w:rsidRPr="001D40BC" w:rsidR="001D40BC" w:rsidP="001D40BC" w:rsidRDefault="001D40BC" w14:paraId="37E9BDA3" w14:textId="77777777">
      <w:pPr>
        <w:spacing w:line="240" w:lineRule="auto"/>
        <w:ind w:left="708" w:right="51"/>
        <w:contextualSpacing/>
        <w:jc w:val="both"/>
        <w:rPr>
          <w:rFonts w:ascii="Work Sans" w:hAnsi="Work Sans" w:cs="Arial"/>
          <w:i/>
          <w:iCs/>
          <w:szCs w:val="20"/>
        </w:rPr>
      </w:pPr>
    </w:p>
    <w:p w:rsidRPr="00B97679" w:rsidR="00CB1369" w:rsidP="00CB1369" w:rsidRDefault="001D40BC" w14:paraId="2029E0DC" w14:textId="77777777">
      <w:pPr>
        <w:spacing w:line="240" w:lineRule="auto"/>
        <w:ind w:left="708" w:right="51"/>
        <w:contextualSpacing/>
        <w:jc w:val="both"/>
        <w:rPr>
          <w:rFonts w:ascii="Work Sans" w:hAnsi="Work Sans" w:cs="Arial"/>
          <w:i/>
          <w:iCs/>
          <w:szCs w:val="20"/>
        </w:rPr>
      </w:pPr>
      <w:r w:rsidRPr="001D40BC">
        <w:rPr>
          <w:rFonts w:ascii="Work Sans" w:hAnsi="Work Sans" w:cs="Arial"/>
          <w:i/>
          <w:iCs/>
          <w:szCs w:val="20"/>
        </w:rPr>
        <w:t xml:space="preserve">c) </w:t>
      </w:r>
      <w:r w:rsidRPr="003A075D">
        <w:rPr>
          <w:rFonts w:ascii="Work Sans" w:hAnsi="Work Sans" w:cs="Arial"/>
          <w:b/>
          <w:bCs/>
          <w:i/>
          <w:iCs/>
          <w:szCs w:val="20"/>
          <w:u w:val="single"/>
        </w:rPr>
        <w:t>Determinar las responsabilidades de los agentes y usuarios en el proceso de medición de energía eléctrica.</w:t>
      </w:r>
      <w:r w:rsidR="00CB1369">
        <w:rPr>
          <w:rFonts w:ascii="Work Sans" w:hAnsi="Work Sans" w:cs="Arial"/>
          <w:b/>
          <w:bCs/>
          <w:i/>
          <w:iCs/>
          <w:szCs w:val="20"/>
          <w:u w:val="single"/>
        </w:rPr>
        <w:t xml:space="preserve"> </w:t>
      </w:r>
      <w:r w:rsidRPr="009321D3" w:rsidR="00CB1369">
        <w:rPr>
          <w:rFonts w:ascii="Work Sans" w:hAnsi="Work Sans" w:cs="Arial"/>
          <w:sz w:val="24"/>
        </w:rPr>
        <w:t>(Subrayado y negri</w:t>
      </w:r>
      <w:r w:rsidR="00CB1369">
        <w:rPr>
          <w:rFonts w:ascii="Work Sans" w:hAnsi="Work Sans" w:cs="Arial"/>
          <w:sz w:val="24"/>
        </w:rPr>
        <w:t>t</w:t>
      </w:r>
      <w:r w:rsidRPr="009321D3" w:rsidR="00CB1369">
        <w:rPr>
          <w:rFonts w:ascii="Work Sans" w:hAnsi="Work Sans" w:cs="Arial"/>
          <w:sz w:val="24"/>
        </w:rPr>
        <w:t>a fuera de texto)</w:t>
      </w:r>
      <w:r w:rsidR="00CB1369">
        <w:rPr>
          <w:rFonts w:ascii="Work Sans" w:hAnsi="Work Sans" w:cs="Arial"/>
          <w:sz w:val="24"/>
        </w:rPr>
        <w:t>.</w:t>
      </w:r>
    </w:p>
    <w:p w:rsidR="001D40BC" w:rsidP="001D40BC" w:rsidRDefault="001D40BC" w14:paraId="147A8B63" w14:textId="01A41A63">
      <w:pPr>
        <w:spacing w:line="240" w:lineRule="auto"/>
        <w:ind w:left="708" w:right="51"/>
        <w:contextualSpacing/>
        <w:jc w:val="both"/>
        <w:rPr>
          <w:rFonts w:ascii="Work Sans" w:hAnsi="Work Sans" w:cs="Arial"/>
          <w:i/>
          <w:iCs/>
          <w:szCs w:val="20"/>
        </w:rPr>
      </w:pPr>
    </w:p>
    <w:p w:rsidRPr="001D40BC" w:rsidR="001D40BC" w:rsidP="001D40BC" w:rsidRDefault="001D40BC" w14:paraId="1D1F6039" w14:textId="77777777">
      <w:pPr>
        <w:spacing w:line="240" w:lineRule="auto"/>
        <w:ind w:left="708" w:right="51"/>
        <w:contextualSpacing/>
        <w:jc w:val="both"/>
        <w:rPr>
          <w:rFonts w:ascii="Work Sans" w:hAnsi="Work Sans" w:cs="Arial"/>
          <w:i/>
          <w:iCs/>
          <w:szCs w:val="20"/>
        </w:rPr>
      </w:pPr>
    </w:p>
    <w:p w:rsidRPr="00B97679" w:rsidR="002E3ED6" w:rsidP="001D40BC" w:rsidRDefault="001D40BC" w14:paraId="143C9FC1" w14:textId="066D2AB9">
      <w:pPr>
        <w:spacing w:line="240" w:lineRule="auto"/>
        <w:ind w:left="708" w:right="51"/>
        <w:contextualSpacing/>
        <w:jc w:val="both"/>
        <w:rPr>
          <w:rFonts w:ascii="Work Sans" w:hAnsi="Work Sans" w:cs="Arial"/>
          <w:i/>
          <w:iCs/>
          <w:szCs w:val="20"/>
        </w:rPr>
      </w:pPr>
      <w:r w:rsidRPr="001D40BC">
        <w:rPr>
          <w:rFonts w:ascii="Work Sans" w:hAnsi="Work Sans" w:cs="Arial"/>
          <w:i/>
          <w:iCs/>
          <w:szCs w:val="20"/>
        </w:rPr>
        <w:t>d) Indicar los parámetros para la realización de verificaciones que certifiquen la conformidad con lo establecido en esta resolución.</w:t>
      </w:r>
      <w:r w:rsidR="00B97679">
        <w:rPr>
          <w:rFonts w:ascii="Work Sans" w:hAnsi="Work Sans" w:cs="Arial"/>
          <w:i/>
          <w:iCs/>
          <w:szCs w:val="20"/>
        </w:rPr>
        <w:t>”</w:t>
      </w:r>
      <w:r w:rsidRPr="002C404E" w:rsidR="002C404E">
        <w:rPr>
          <w:rFonts w:ascii="Work Sans" w:hAnsi="Work Sans" w:cs="Arial"/>
          <w:sz w:val="24"/>
        </w:rPr>
        <w:t xml:space="preserve"> </w:t>
      </w:r>
    </w:p>
    <w:p w:rsidR="00AB1B55" w:rsidP="00AB1B55" w:rsidRDefault="00AB1B55" w14:paraId="7754C08E" w14:textId="683FEA5F">
      <w:pPr>
        <w:spacing w:line="240" w:lineRule="auto"/>
        <w:ind w:left="708" w:right="51"/>
        <w:contextualSpacing/>
        <w:jc w:val="both"/>
        <w:rPr>
          <w:rFonts w:ascii="Work Sans" w:hAnsi="Work Sans" w:cs="Arial"/>
          <w:sz w:val="24"/>
        </w:rPr>
      </w:pPr>
    </w:p>
    <w:p w:rsidR="00AA228B" w:rsidP="00AA228B" w:rsidRDefault="00AA228B" w14:paraId="5387E98E" w14:textId="59DC4C4F">
      <w:pPr>
        <w:spacing w:line="240" w:lineRule="auto"/>
        <w:ind w:right="51"/>
        <w:contextualSpacing/>
        <w:jc w:val="both"/>
        <w:rPr>
          <w:rFonts w:ascii="Work Sans" w:hAnsi="Work Sans" w:cs="Arial"/>
          <w:sz w:val="24"/>
        </w:rPr>
      </w:pPr>
      <w:r w:rsidRPr="00AA228B">
        <w:rPr>
          <w:rFonts w:ascii="Work Sans" w:hAnsi="Work Sans" w:cs="Arial"/>
          <w:sz w:val="24"/>
        </w:rPr>
        <w:t xml:space="preserve">En aplicación de las disposiciones anteriormente citadas, este Ministerio ha identificado situaciones en las cuales determinados usuarios desarrollan dentro de un mismo inmueble actividades sometidas a tratamientos </w:t>
      </w:r>
      <w:r w:rsidR="00BD6E5D">
        <w:rPr>
          <w:rFonts w:ascii="Work Sans" w:hAnsi="Work Sans" w:cs="Arial"/>
          <w:sz w:val="24"/>
        </w:rPr>
        <w:t xml:space="preserve">tarifarios </w:t>
      </w:r>
      <w:r w:rsidRPr="00AA228B">
        <w:rPr>
          <w:rFonts w:ascii="Work Sans" w:hAnsi="Work Sans" w:cs="Arial"/>
          <w:sz w:val="24"/>
        </w:rPr>
        <w:t xml:space="preserve">distintos frente a la contribución de solidaridad. </w:t>
      </w:r>
      <w:r w:rsidRPr="005849F9" w:rsidR="005849F9">
        <w:rPr>
          <w:rFonts w:ascii="Work Sans" w:hAnsi="Work Sans" w:cs="Arial"/>
          <w:sz w:val="24"/>
        </w:rPr>
        <w:t>En particular, se han evidenciado casos en los que una parte del consumo de energía eléctrica corresponde a actividades económicas exentas o excluidas de dicho tributo, mientras otra parte del consumo corresponde a actividades que convierten al usuario en sujeto pasivo de la contribución de solidaridad, de conformidad con el numeral 1 del artículo 89 de la Ley 142 de 1994.</w:t>
      </w:r>
    </w:p>
    <w:p w:rsidRPr="00AA228B" w:rsidR="00AA228B" w:rsidP="00AA228B" w:rsidRDefault="00AA228B" w14:paraId="3F304B74" w14:textId="77777777">
      <w:pPr>
        <w:spacing w:line="240" w:lineRule="auto"/>
        <w:ind w:right="51"/>
        <w:contextualSpacing/>
        <w:jc w:val="both"/>
        <w:rPr>
          <w:rFonts w:ascii="Work Sans" w:hAnsi="Work Sans" w:cs="Arial"/>
          <w:sz w:val="24"/>
        </w:rPr>
      </w:pPr>
    </w:p>
    <w:p w:rsidRPr="00AA228B" w:rsidR="0050008F" w:rsidP="49FACF3F" w:rsidRDefault="0050008F" w14:paraId="199E0E07" w14:textId="11C6B531">
      <w:pPr>
        <w:spacing w:line="240" w:lineRule="auto"/>
        <w:ind w:right="51"/>
        <w:contextualSpacing w:val="1"/>
        <w:jc w:val="both"/>
        <w:rPr>
          <w:rFonts w:ascii="Work Sans" w:hAnsi="Work Sans" w:cs="Arial"/>
          <w:sz w:val="24"/>
          <w:szCs w:val="24"/>
        </w:rPr>
      </w:pPr>
      <w:r w:rsidRPr="49FACF3F" w:rsidR="0050008F">
        <w:rPr>
          <w:rFonts w:ascii="Work Sans" w:hAnsi="Work Sans" w:cs="Arial"/>
          <w:sz w:val="24"/>
          <w:szCs w:val="24"/>
        </w:rPr>
        <w:t>No obstante, en algunos de estos casos el comercializador del servicio público domiciliario de energía eléctrica no realiza una medición independiente de los consumos asociados a cada actividad económica, sino que aplica tratamientos diferenciales mediante estimaciones, porcentajes de carga instalada u otros criterios distintos a la medición efectiva del consumo asociado a cada actividad desarrollada dentro del inmueble o establecimiento</w:t>
      </w:r>
      <w:r w:rsidRPr="49FACF3F" w:rsidR="00E23037">
        <w:rPr>
          <w:rFonts w:ascii="Work Sans" w:hAnsi="Work Sans" w:cs="Arial"/>
          <w:sz w:val="24"/>
          <w:szCs w:val="24"/>
        </w:rPr>
        <w:t xml:space="preserve"> </w:t>
      </w:r>
      <w:r w:rsidRPr="49FACF3F" w:rsidR="00E23037">
        <w:rPr>
          <w:rFonts w:ascii="Work Sans" w:hAnsi="Work Sans" w:cs="Arial"/>
          <w:sz w:val="24"/>
          <w:szCs w:val="24"/>
        </w:rPr>
        <w:t>para la aplicación del beneficio de la exención de la contribución</w:t>
      </w:r>
      <w:r w:rsidRPr="49FACF3F" w:rsidR="00E761BB">
        <w:rPr>
          <w:rFonts w:ascii="Work Sans" w:hAnsi="Work Sans" w:cs="Arial"/>
          <w:sz w:val="24"/>
          <w:szCs w:val="24"/>
        </w:rPr>
        <w:t>, incluso han existido casos en donde se ha desagregado el porcentaje del 20%, mediante estas estimaciones de consumo realizada por l</w:t>
      </w:r>
      <w:r w:rsidRPr="49FACF3F" w:rsidR="006B6841">
        <w:rPr>
          <w:rFonts w:ascii="Work Sans" w:hAnsi="Work Sans" w:cs="Arial"/>
          <w:sz w:val="24"/>
          <w:szCs w:val="24"/>
        </w:rPr>
        <w:t>as comercializadoras</w:t>
      </w:r>
      <w:r w:rsidRPr="49FACF3F" w:rsidR="0050008F">
        <w:rPr>
          <w:rFonts w:ascii="Work Sans" w:hAnsi="Work Sans" w:cs="Arial"/>
          <w:sz w:val="24"/>
          <w:szCs w:val="24"/>
        </w:rPr>
        <w:t>.</w:t>
      </w:r>
    </w:p>
    <w:p w:rsidR="005109B7" w:rsidP="00484A5A" w:rsidRDefault="005109B7" w14:paraId="4BB48089" w14:textId="77777777">
      <w:pPr>
        <w:spacing w:line="240" w:lineRule="auto"/>
        <w:ind w:right="51"/>
        <w:contextualSpacing/>
        <w:jc w:val="both"/>
        <w:rPr>
          <w:rFonts w:ascii="Work Sans" w:hAnsi="Work Sans" w:cs="Arial"/>
          <w:sz w:val="24"/>
        </w:rPr>
      </w:pPr>
    </w:p>
    <w:p w:rsidR="00FD75B5" w:rsidP="49FACF3F" w:rsidRDefault="00981428" w14:paraId="38D20B42" w14:textId="093E1F28">
      <w:pPr>
        <w:spacing w:line="240" w:lineRule="auto"/>
        <w:ind w:right="51"/>
        <w:contextualSpacing w:val="1"/>
        <w:jc w:val="both"/>
        <w:rPr>
          <w:rFonts w:ascii="Work Sans" w:hAnsi="Work Sans" w:cs="Arial"/>
          <w:sz w:val="24"/>
          <w:szCs w:val="24"/>
        </w:rPr>
      </w:pPr>
      <w:r w:rsidRPr="49FACF3F" w:rsidR="46E918F1">
        <w:rPr>
          <w:rFonts w:ascii="Work Sans" w:hAnsi="Work Sans" w:cs="Arial"/>
          <w:sz w:val="24"/>
          <w:szCs w:val="24"/>
        </w:rPr>
        <w:t>Frente a esta situación, la Oficina de Asesoría Jurídica de este Ministerio, mediante memorando No. 3-2025-054200 del 7 de diciembre de 2025 (anexo), señaló lo siguiente:</w:t>
      </w:r>
    </w:p>
    <w:p w:rsidR="00207F20" w:rsidP="00484A5A" w:rsidRDefault="00207F20" w14:paraId="5F725E83" w14:textId="77777777">
      <w:pPr>
        <w:spacing w:line="240" w:lineRule="auto"/>
        <w:ind w:right="51"/>
        <w:contextualSpacing/>
        <w:jc w:val="both"/>
        <w:rPr>
          <w:rFonts w:ascii="Work Sans" w:hAnsi="Work Sans" w:cs="Arial"/>
          <w:sz w:val="24"/>
        </w:rPr>
      </w:pPr>
    </w:p>
    <w:p w:rsidR="008C5CCD" w:rsidP="49FACF3F" w:rsidRDefault="005D36DB" w14:paraId="0F4A64C0" w14:textId="0EACDDE2">
      <w:pPr>
        <w:spacing w:line="240" w:lineRule="auto"/>
        <w:ind w:left="708" w:right="51"/>
        <w:contextualSpacing w:val="1"/>
        <w:jc w:val="both"/>
        <w:rPr>
          <w:rFonts w:ascii="Work Sans" w:hAnsi="Work Sans" w:cs="Arial"/>
          <w:sz w:val="24"/>
          <w:szCs w:val="24"/>
        </w:rPr>
      </w:pPr>
      <w:r w:rsidRPr="49FACF3F" w:rsidR="54CDA100">
        <w:rPr>
          <w:rFonts w:ascii="Work Sans" w:hAnsi="Work Sans" w:cs="Arial"/>
          <w:i w:val="1"/>
          <w:iCs w:val="1"/>
        </w:rPr>
        <w:t xml:space="preserve">“(…) cabe señalar que solo las entidades competentes para definir los elementos de un tributo en particular, esto es, hecho gravable, sujeto pasivo, sujeto activo, base gravable, así como sus exclusiones y exenciones, pueden fijar los parámetros para su aplicación; de manera tal, que establecido por factura el valor del servicio consumido por el usuario al que se aplica la contribución de solidaridad sería necesario que regulatoriamente se prevea la facturación del servicio de energía eléctrica por “cargas instaladas” del usuario, </w:t>
      </w:r>
      <w:r w:rsidRPr="49FACF3F" w:rsidR="54CDA100">
        <w:rPr>
          <w:rFonts w:ascii="Work Sans" w:hAnsi="Work Sans" w:cs="Arial"/>
          <w:b w:val="1"/>
          <w:bCs w:val="1"/>
          <w:i w:val="1"/>
          <w:iCs w:val="1"/>
          <w:u w:val="single"/>
        </w:rPr>
        <w:t xml:space="preserve">de lo contrario </w:t>
      </w:r>
      <w:r w:rsidRPr="49FACF3F" w:rsidR="54CDA100">
        <w:rPr>
          <w:rFonts w:ascii="Work Sans" w:hAnsi="Work Sans" w:cs="Arial"/>
          <w:b w:val="1"/>
          <w:bCs w:val="1"/>
          <w:i w:val="1"/>
          <w:iCs w:val="1"/>
          <w:u w:val="single"/>
        </w:rPr>
        <w:t>consideramos legal y regulatoriamente improcedente la “desagregación” de la base gravable planteada.</w:t>
      </w:r>
      <w:r w:rsidRPr="49FACF3F" w:rsidR="54CDA100">
        <w:rPr>
          <w:rFonts w:ascii="Work Sans" w:hAnsi="Work Sans" w:cs="Arial"/>
          <w:i w:val="1"/>
          <w:iCs w:val="1"/>
        </w:rPr>
        <w:t>”</w:t>
      </w:r>
      <w:r w:rsidRPr="49FACF3F" w:rsidR="54CDA100">
        <w:rPr>
          <w:rFonts w:ascii="Work Sans" w:hAnsi="Work Sans" w:cs="Arial"/>
        </w:rPr>
        <w:t xml:space="preserve"> </w:t>
      </w:r>
      <w:r w:rsidRPr="49FACF3F" w:rsidR="54CDA100">
        <w:rPr>
          <w:rFonts w:ascii="Work Sans" w:hAnsi="Work Sans" w:cs="Arial"/>
          <w:sz w:val="24"/>
          <w:szCs w:val="24"/>
        </w:rPr>
        <w:t>(Subrayado y negrilla fuera de texto).</w:t>
      </w:r>
    </w:p>
    <w:p w:rsidR="009C7E94" w:rsidP="00484A5A" w:rsidRDefault="009C7E94" w14:paraId="383EF9E9" w14:textId="77777777">
      <w:pPr>
        <w:spacing w:line="240" w:lineRule="auto"/>
        <w:ind w:right="51"/>
        <w:contextualSpacing/>
        <w:jc w:val="both"/>
        <w:rPr>
          <w:rFonts w:ascii="Work Sans" w:hAnsi="Work Sans" w:cs="Arial"/>
          <w:sz w:val="24"/>
        </w:rPr>
      </w:pPr>
    </w:p>
    <w:p w:rsidR="002C5370" w:rsidP="49FACF3F" w:rsidRDefault="002C5370" w14:paraId="3CD25AAB" w14:textId="0C5DE8E9">
      <w:pPr>
        <w:spacing w:after="0" w:line="240" w:lineRule="auto"/>
        <w:ind w:right="51"/>
        <w:contextualSpacing w:val="1"/>
        <w:jc w:val="both"/>
        <w:rPr>
          <w:rFonts w:ascii="Work Sans" w:hAnsi="Work Sans" w:cs="Arial"/>
          <w:sz w:val="24"/>
          <w:szCs w:val="24"/>
        </w:rPr>
      </w:pPr>
      <w:r w:rsidRPr="49FACF3F" w:rsidR="20914090">
        <w:rPr>
          <w:rFonts w:ascii="Work Sans" w:hAnsi="Work Sans" w:cs="Arial"/>
          <w:sz w:val="24"/>
          <w:szCs w:val="24"/>
        </w:rPr>
        <w:t xml:space="preserve">En consideración a lo anterior, </w:t>
      </w:r>
      <w:r w:rsidRPr="49FACF3F" w:rsidR="20914090">
        <w:rPr>
          <w:rFonts w:ascii="Work Sans" w:hAnsi="Work Sans" w:cs="Arial"/>
          <w:sz w:val="24"/>
          <w:szCs w:val="24"/>
        </w:rPr>
        <w:t xml:space="preserve">y teniendo en cuenta que la CREG </w:t>
      </w:r>
      <w:r w:rsidRPr="49FACF3F" w:rsidR="5059FEB3">
        <w:rPr>
          <w:rFonts w:ascii="Work Sans" w:hAnsi="Work Sans" w:cs="Arial"/>
          <w:sz w:val="24"/>
          <w:szCs w:val="24"/>
        </w:rPr>
        <w:t xml:space="preserve">estableció la regulación </w:t>
      </w:r>
      <w:r w:rsidRPr="49FACF3F" w:rsidR="20914090">
        <w:rPr>
          <w:rFonts w:ascii="Work Sans" w:hAnsi="Work Sans" w:cs="Arial"/>
          <w:sz w:val="24"/>
          <w:szCs w:val="24"/>
        </w:rPr>
        <w:t>asociada al Código de Medida y las condiciones aplicables a la medición de consumos de energía eléctrica</w:t>
      </w:r>
      <w:r w:rsidRPr="49FACF3F" w:rsidR="20914090">
        <w:rPr>
          <w:rFonts w:ascii="Work Sans" w:hAnsi="Work Sans" w:cs="Arial"/>
          <w:sz w:val="24"/>
          <w:szCs w:val="24"/>
        </w:rPr>
        <w:t>, respetuosamente solicitamos emitir concepto respecto de los siguientes interrogantes:</w:t>
      </w:r>
    </w:p>
    <w:p w:rsidR="000137E7" w:rsidP="00230ACF" w:rsidRDefault="000137E7" w14:paraId="787FA3EF" w14:textId="77777777">
      <w:pPr>
        <w:spacing w:after="0" w:line="240" w:lineRule="auto"/>
        <w:ind w:right="51"/>
        <w:contextualSpacing/>
        <w:jc w:val="both"/>
        <w:rPr>
          <w:rFonts w:ascii="Work Sans" w:hAnsi="Work Sans" w:cs="Arial"/>
          <w:sz w:val="24"/>
        </w:rPr>
      </w:pPr>
    </w:p>
    <w:p w:rsidRPr="000441BA" w:rsidR="000441BA" w:rsidP="006B14F2" w:rsidRDefault="000441BA" w14:paraId="4A1C9FAB" w14:textId="54C0469B">
      <w:pPr>
        <w:pStyle w:val="Prrafodelista"/>
        <w:numPr>
          <w:ilvl w:val="0"/>
          <w:numId w:val="3"/>
        </w:numPr>
        <w:spacing w:after="0" w:line="240" w:lineRule="auto"/>
        <w:ind w:right="51"/>
        <w:jc w:val="both"/>
        <w:rPr>
          <w:rFonts w:ascii="Work Sans" w:hAnsi="Work Sans" w:cs="Arial"/>
          <w:sz w:val="24"/>
        </w:rPr>
      </w:pPr>
      <w:r w:rsidRPr="000441BA">
        <w:rPr>
          <w:rFonts w:ascii="Work Sans" w:hAnsi="Work Sans" w:cs="Arial"/>
          <w:sz w:val="24"/>
        </w:rPr>
        <w:t xml:space="preserve">En aquellos eventos en los cuales dentro de un mismo inmueble o establecimiento se desarrollen actividades sujetas a diferentes tratamientos </w:t>
      </w:r>
      <w:r w:rsidR="00A3784A">
        <w:rPr>
          <w:rFonts w:ascii="Work Sans" w:hAnsi="Work Sans" w:cs="Arial"/>
          <w:sz w:val="24"/>
        </w:rPr>
        <w:t xml:space="preserve">tarifarios </w:t>
      </w:r>
      <w:r w:rsidRPr="000441BA">
        <w:rPr>
          <w:rFonts w:ascii="Work Sans" w:hAnsi="Work Sans" w:cs="Arial"/>
          <w:sz w:val="24"/>
        </w:rPr>
        <w:t>frente a la contribución de solidaridad del servicio de energía eléctrica</w:t>
      </w:r>
      <w:r w:rsidR="00A3784A">
        <w:rPr>
          <w:rFonts w:ascii="Work Sans" w:hAnsi="Work Sans" w:cs="Arial"/>
          <w:sz w:val="24"/>
        </w:rPr>
        <w:t>,</w:t>
      </w:r>
      <w:r w:rsidRPr="000441BA">
        <w:rPr>
          <w:rFonts w:ascii="Work Sans" w:hAnsi="Work Sans" w:cs="Arial"/>
          <w:sz w:val="24"/>
        </w:rPr>
        <w:t xml:space="preserve"> ¿</w:t>
      </w:r>
      <w:r w:rsidR="00A3784A">
        <w:rPr>
          <w:rFonts w:ascii="Work Sans" w:hAnsi="Work Sans" w:cs="Arial"/>
          <w:sz w:val="24"/>
        </w:rPr>
        <w:t>e</w:t>
      </w:r>
      <w:r w:rsidRPr="000441BA">
        <w:rPr>
          <w:rFonts w:ascii="Work Sans" w:hAnsi="Work Sans" w:cs="Arial"/>
          <w:sz w:val="24"/>
        </w:rPr>
        <w:t>xiste en la regulación vigente obligación de implementar sistemas de medición independientes que permitan identificar el consumo efectivamente asociado a cada actividad</w:t>
      </w:r>
      <w:r w:rsidR="00A3784A">
        <w:rPr>
          <w:rFonts w:ascii="Work Sans" w:hAnsi="Work Sans" w:cs="Arial"/>
          <w:sz w:val="24"/>
        </w:rPr>
        <w:t xml:space="preserve"> económica</w:t>
      </w:r>
      <w:r w:rsidRPr="000441BA">
        <w:rPr>
          <w:rFonts w:ascii="Work Sans" w:hAnsi="Work Sans" w:cs="Arial"/>
          <w:sz w:val="24"/>
        </w:rPr>
        <w:t xml:space="preserve">? </w:t>
      </w:r>
    </w:p>
    <w:p w:rsidRPr="000441BA" w:rsidR="000441BA" w:rsidP="006B14F2" w:rsidRDefault="000441BA" w14:paraId="36F92C73" w14:textId="77777777">
      <w:pPr>
        <w:spacing w:after="0" w:line="240" w:lineRule="auto"/>
        <w:ind w:right="51"/>
        <w:contextualSpacing/>
        <w:jc w:val="both"/>
        <w:rPr>
          <w:rFonts w:ascii="Work Sans" w:hAnsi="Work Sans" w:cs="Arial"/>
          <w:sz w:val="24"/>
        </w:rPr>
      </w:pPr>
    </w:p>
    <w:p w:rsidR="000441BA" w:rsidP="006B14F2" w:rsidRDefault="000441BA" w14:paraId="4726376A" w14:textId="10A9C298">
      <w:pPr>
        <w:pStyle w:val="Prrafodelista"/>
        <w:numPr>
          <w:ilvl w:val="0"/>
          <w:numId w:val="3"/>
        </w:numPr>
        <w:spacing w:after="0" w:line="240" w:lineRule="auto"/>
        <w:ind w:right="51"/>
        <w:jc w:val="both"/>
        <w:rPr>
          <w:rFonts w:ascii="Work Sans" w:hAnsi="Work Sans" w:cs="Arial"/>
          <w:sz w:val="24"/>
        </w:rPr>
      </w:pPr>
      <w:r w:rsidRPr="000441BA">
        <w:rPr>
          <w:rFonts w:ascii="Work Sans" w:hAnsi="Work Sans" w:cs="Arial"/>
          <w:sz w:val="24"/>
        </w:rPr>
        <w:t xml:space="preserve">En caso afirmativo, </w:t>
      </w:r>
      <w:r w:rsidRPr="002D7764" w:rsidR="002D7764">
        <w:rPr>
          <w:rFonts w:ascii="Work Sans" w:hAnsi="Work Sans" w:cs="Arial"/>
          <w:sz w:val="24"/>
        </w:rPr>
        <w:t>¿cuál es el fundamento normativo o regulatorio que establece dicha obligación y a quién correspondería asumir la responsabilidad de implementar la separación de la medición?</w:t>
      </w:r>
    </w:p>
    <w:p w:rsidRPr="003A075D" w:rsidR="000A4DD4" w:rsidP="003A075D" w:rsidRDefault="000A4DD4" w14:paraId="0F0B2725" w14:textId="77777777">
      <w:pPr>
        <w:pStyle w:val="Prrafodelista"/>
        <w:rPr>
          <w:rFonts w:ascii="Work Sans" w:hAnsi="Work Sans" w:cs="Arial"/>
          <w:sz w:val="24"/>
        </w:rPr>
      </w:pPr>
    </w:p>
    <w:p w:rsidRPr="000441BA" w:rsidR="000A4DD4" w:rsidP="006B14F2" w:rsidRDefault="000A4DD4" w14:paraId="3E70F8F2" w14:textId="77BE00B6">
      <w:pPr>
        <w:pStyle w:val="Prrafodelista"/>
        <w:numPr>
          <w:ilvl w:val="0"/>
          <w:numId w:val="3"/>
        </w:numPr>
        <w:spacing w:after="0" w:line="240" w:lineRule="auto"/>
        <w:ind w:right="51"/>
        <w:jc w:val="both"/>
        <w:rPr>
          <w:rFonts w:ascii="Work Sans" w:hAnsi="Work Sans" w:cs="Arial"/>
          <w:sz w:val="24"/>
        </w:rPr>
      </w:pPr>
      <w:r w:rsidRPr="000A4DD4">
        <w:rPr>
          <w:rFonts w:ascii="Work Sans" w:hAnsi="Work Sans" w:cs="Arial"/>
          <w:sz w:val="24"/>
        </w:rPr>
        <w:t xml:space="preserve">En caso de no existir fundamento normativo o regulatorio que establezca la obligación de implementar sistemas de medición independientes para cada actividad económica desarrollada dentro de un mismo inmueble o establecimiento, ¿de qué manera, desde el marco regulatorio asociado al Código de Medida y a las condiciones de medición del consumo de energía eléctrica, debería determinarse el consumo atribuible a cada actividad económica cuando estas se encuentren sujetas a tratamientos </w:t>
      </w:r>
      <w:r w:rsidR="005421FE">
        <w:rPr>
          <w:rFonts w:ascii="Work Sans" w:hAnsi="Work Sans" w:cs="Arial"/>
          <w:sz w:val="24"/>
        </w:rPr>
        <w:t xml:space="preserve">tarifarios </w:t>
      </w:r>
      <w:r w:rsidRPr="000A4DD4">
        <w:rPr>
          <w:rFonts w:ascii="Work Sans" w:hAnsi="Work Sans" w:cs="Arial"/>
          <w:sz w:val="24"/>
        </w:rPr>
        <w:t>diferenciados?</w:t>
      </w:r>
    </w:p>
    <w:p w:rsidR="000441BA" w:rsidP="000441BA" w:rsidRDefault="000441BA" w14:paraId="067D7043" w14:textId="77777777">
      <w:pPr>
        <w:spacing w:line="240" w:lineRule="auto"/>
        <w:ind w:right="51"/>
        <w:contextualSpacing/>
        <w:jc w:val="both"/>
        <w:rPr>
          <w:rFonts w:ascii="Work Sans" w:hAnsi="Work Sans" w:cs="Arial"/>
          <w:sz w:val="24"/>
        </w:rPr>
      </w:pPr>
    </w:p>
    <w:p w:rsidRPr="00640E5A" w:rsidR="00484A5A" w:rsidP="00484A5A" w:rsidRDefault="00484A5A" w14:paraId="7F631C2F" w14:textId="5E4926E1">
      <w:pPr>
        <w:spacing w:line="240" w:lineRule="auto"/>
        <w:ind w:right="51"/>
        <w:contextualSpacing/>
        <w:jc w:val="both"/>
        <w:rPr>
          <w:rFonts w:ascii="Work Sans" w:hAnsi="Work Sans" w:cs="Arial"/>
          <w:sz w:val="24"/>
        </w:rPr>
      </w:pPr>
      <w:r w:rsidRPr="00640E5A">
        <w:rPr>
          <w:rFonts w:ascii="Work Sans" w:hAnsi="Work Sans" w:cs="Arial"/>
          <w:sz w:val="24"/>
        </w:rPr>
        <w:t>Cordialmente,</w:t>
      </w:r>
    </w:p>
    <w:p w:rsidR="00DE1913" w:rsidRDefault="00DE1913" w14:paraId="587D12C3" w14:textId="77777777">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rsidRPr="00F94C11" w:rsidR="00DE1913" w:rsidRDefault="003B2B73" w14:paraId="5145A6CB" w14:textId="77777777">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rsidR="00DE1913" w:rsidRDefault="00DE1913" w14:paraId="7D1CDEBA" w14:textId="77777777">
            <w:pPr>
              <w:widowControl w:val="0"/>
              <w:spacing w:after="0"/>
              <w:rPr>
                <w:rFonts w:ascii="Work Sans ExtraLight" w:hAnsi="Work Sans ExtraLight"/>
              </w:rPr>
            </w:pPr>
          </w:p>
        </w:tc>
        <w:tc>
          <w:tcPr>
            <w:tcW w:w="4409" w:type="dxa"/>
          </w:tcPr>
          <w:p w:rsidR="00DE1913" w:rsidRDefault="00DE1913" w14:paraId="5799865F" w14:textId="77777777">
            <w:pPr>
              <w:widowControl w:val="0"/>
              <w:spacing w:after="0"/>
              <w:rPr>
                <w:rFonts w:ascii="Work Sans ExtraLight" w:hAnsi="Work Sans ExtraLight"/>
              </w:rPr>
            </w:pPr>
          </w:p>
        </w:tc>
      </w:tr>
      <w:tr w:rsidR="00DE1913" w14:paraId="4D903A80" w14:textId="77777777">
        <w:tc>
          <w:tcPr>
            <w:tcW w:w="4380" w:type="dxa"/>
          </w:tcPr>
          <w:p w:rsidR="00DE1913" w:rsidRDefault="00DE1913" w14:paraId="1411F255" w14:textId="77777777">
            <w:pPr>
              <w:widowControl w:val="0"/>
              <w:spacing w:after="0"/>
              <w:rPr>
                <w:rFonts w:ascii="Work Sans ExtraLight" w:hAnsi="Work Sans ExtraLight"/>
              </w:rPr>
            </w:pPr>
          </w:p>
        </w:tc>
        <w:tc>
          <w:tcPr>
            <w:tcW w:w="4409" w:type="dxa"/>
          </w:tcPr>
          <w:p w:rsidR="00DE1913" w:rsidRDefault="00DE1913" w14:paraId="0F8A73FC" w14:textId="77777777">
            <w:pPr>
              <w:widowControl w:val="0"/>
              <w:spacing w:after="0"/>
              <w:rPr>
                <w:rFonts w:ascii="Work Sans ExtraLight" w:hAnsi="Work Sans ExtraLight"/>
              </w:rPr>
            </w:pPr>
          </w:p>
        </w:tc>
      </w:tr>
    </w:tbl>
    <w:p w:rsidR="00DE1913" w:rsidRDefault="003B2B73" w14:paraId="312123EE" w14:textId="77777777">
      <w:pPr>
        <w:spacing w:after="0"/>
        <w:rPr>
          <w:rFonts w:ascii="Work Sans" w:hAnsi="Work Sans"/>
          <w:sz w:val="16"/>
          <w:szCs w:val="16"/>
        </w:rPr>
      </w:pPr>
      <w:r>
        <w:rPr>
          <w:rFonts w:ascii="Work Sans" w:hAnsi="Work Sans"/>
          <w:sz w:val="16"/>
          <w:szCs w:val="16"/>
        </w:rPr>
        <w:t>ley_texto</w:t>
      </w:r>
    </w:p>
    <w:p w:rsidR="00DE1913" w:rsidRDefault="003B2B73" w14:paraId="5F6C3CB9" w14:textId="77777777">
      <w:pPr>
        <w:spacing w:after="0"/>
        <w:rPr>
          <w:rFonts w:ascii="Work Sans" w:hAnsi="Work Sans"/>
          <w:sz w:val="16"/>
          <w:szCs w:val="16"/>
        </w:rPr>
      </w:pPr>
      <w:r>
        <w:rPr>
          <w:rFonts w:ascii="Work Sans" w:hAnsi="Work Sans"/>
          <w:sz w:val="16"/>
          <w:szCs w:val="16"/>
        </w:rPr>
        <w:t xml:space="preserve">copias_r </w:t>
      </w:r>
    </w:p>
    <w:p w:rsidR="00DE1913" w:rsidRDefault="003B2B73" w14:paraId="56626830" w14:textId="77777777">
      <w:pPr>
        <w:spacing w:after="0"/>
        <w:rPr>
          <w:rFonts w:ascii="Work Sans" w:hAnsi="Work Sans"/>
          <w:sz w:val="16"/>
          <w:szCs w:val="16"/>
        </w:rPr>
      </w:pPr>
      <w:r>
        <w:rPr>
          <w:rFonts w:ascii="Work Sans" w:hAnsi="Work Sans" w:eastAsia="Times New Roman" w:cs="Times New Roman"/>
          <w:spacing w:val="-3"/>
          <w:sz w:val="16"/>
          <w:szCs w:val="16"/>
          <w:lang w:val="es-ES_tradnl" w:eastAsia="es-ES"/>
        </w:rPr>
        <w:t>rad_padre</w:t>
      </w:r>
    </w:p>
    <w:p w:rsidR="00DE1913" w:rsidRDefault="003B2B73" w14:paraId="1843D142" w14:textId="77777777">
      <w:pPr>
        <w:spacing w:after="0"/>
        <w:rPr>
          <w:rFonts w:ascii="Work Sans" w:hAnsi="Work Sans"/>
          <w:sz w:val="16"/>
          <w:szCs w:val="16"/>
        </w:rPr>
      </w:pPr>
      <w:r>
        <w:rPr>
          <w:rFonts w:ascii="Work Sans" w:hAnsi="Work Sans" w:eastAsia="Times New Roman" w:cs="Times New Roman"/>
          <w:spacing w:val="-3"/>
          <w:sz w:val="16"/>
          <w:szCs w:val="16"/>
          <w:lang w:val="es-ES_tradnl" w:eastAsia="es-ES"/>
        </w:rPr>
        <w:t>anexo_r</w:t>
      </w:r>
    </w:p>
    <w:p w:rsidR="00DE1913" w:rsidRDefault="003B2B73" w14:paraId="7CBF7FF4" w14:textId="77777777">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r>
      <w:r>
        <w:rPr>
          <w:rFonts w:ascii="Work Sans" w:hAnsi="Work Sans"/>
          <w:sz w:val="16"/>
          <w:szCs w:val="16"/>
        </w:rPr>
        <w:t>Aprobó: res_aprobacion</w:t>
      </w:r>
    </w:p>
    <w:sectPr w:rsidR="00DE1913">
      <w:headerReference w:type="default" r:id="rId11"/>
      <w:footerReference w:type="default" r:id="rId12"/>
      <w:pgSz w:w="12240" w:h="15840" w:orient="portrait"/>
      <w:pgMar w:top="1991" w:right="1418" w:bottom="1588" w:left="1418" w:header="573" w:footer="1531" w:gutter="0"/>
      <w:cols w:space="720"/>
      <w:formProt w:val="0"/>
      <w:docGrid w:linePitch="360" w:charSpace="16384"/>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12DFD" w:rsidRDefault="00A12DFD" w14:paraId="2543FDA1" w14:textId="77777777">
      <w:pPr>
        <w:spacing w:after="0" w:line="240" w:lineRule="auto"/>
      </w:pPr>
      <w:r>
        <w:separator/>
      </w:r>
    </w:p>
  </w:endnote>
  <w:endnote w:type="continuationSeparator" w:id="0">
    <w:p w:rsidR="00A12DFD" w:rsidRDefault="00A12DFD" w14:paraId="28006B0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E1913" w:rsidRDefault="002478C2" w14:paraId="49825EFB" w14:textId="749C1687">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12DFD" w:rsidRDefault="00A12DFD" w14:paraId="7DB5CA21" w14:textId="77777777">
      <w:pPr>
        <w:spacing w:after="0" w:line="240" w:lineRule="auto"/>
      </w:pPr>
      <w:r>
        <w:separator/>
      </w:r>
    </w:p>
  </w:footnote>
  <w:footnote w:type="continuationSeparator" w:id="0">
    <w:p w:rsidR="00A12DFD" w:rsidRDefault="00A12DFD" w14:paraId="3AAA8A3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1960614062"/>
      <w:docPartObj>
        <w:docPartGallery w:val="Page Numbers (Top of Page)"/>
        <w:docPartUnique/>
      </w:docPartObj>
    </w:sdtPr>
    <w:sdtContent>
      <w:p w:rsidR="00FD392C" w:rsidP="005225C6" w:rsidRDefault="00FD392C" w14:paraId="0251DE41" w14:textId="7BD393A3">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rsidR="005225C6" w:rsidP="005225C6" w:rsidRDefault="005617AA" w14:paraId="06725766" w14:textId="36D09AE8">
        <w:pPr>
          <w:pStyle w:val="Encabezado"/>
          <w:jc w:val="right"/>
          <w:rPr>
            <w:noProof/>
          </w:rPr>
        </w:pPr>
        <w:r>
          <w:rPr>
            <w:noProof/>
          </w:rPr>
          <w:t xml:space="preserve">   </w:t>
        </w:r>
      </w:p>
      <w:p w:rsidR="005225C6" w:rsidP="005225C6" w:rsidRDefault="005225C6" w14:paraId="4D7720E1" w14:textId="77777777">
        <w:pPr>
          <w:pStyle w:val="Encabezado"/>
          <w:jc w:val="right"/>
          <w:rPr>
            <w:noProof/>
          </w:rPr>
        </w:pPr>
      </w:p>
      <w:p w:rsidR="00892C0E" w:rsidP="005225C6" w:rsidRDefault="005617AA" w14:paraId="64ACE5FF" w14:textId="54B6DE13">
        <w:pPr>
          <w:pStyle w:val="Encabezado"/>
          <w:jc w:val="right"/>
          <w:rPr>
            <w:noProof/>
          </w:rPr>
        </w:pPr>
        <w:r>
          <w:rPr>
            <w:noProof/>
          </w:rPr>
          <w:tab/>
        </w:r>
      </w:p>
      <w:p w:rsidR="005225C6" w:rsidRDefault="005225C6" w14:paraId="0EA61A8D" w14:textId="77777777">
        <w:pPr>
          <w:pStyle w:val="Encabezado"/>
          <w:jc w:val="right"/>
          <w:rPr>
            <w:rFonts w:ascii="Work Sans" w:hAnsi="Work Sans" w:eastAsia="Arial Unicode MS" w:cs="Arial"/>
            <w:bCs/>
            <w:sz w:val="18"/>
            <w:szCs w:val="36"/>
            <w:lang w:val="es-ES"/>
          </w:rPr>
        </w:pPr>
      </w:p>
      <w:p w:rsidR="00DE1913" w:rsidRDefault="003B2B73" w14:paraId="2F5A2795" w14:textId="69E4EEB2">
        <w:pPr>
          <w:pStyle w:val="Encabezado"/>
          <w:jc w:val="right"/>
        </w:pPr>
        <w:r>
          <w:rPr>
            <w:rFonts w:ascii="Work Sans" w:hAnsi="Work Sans" w:eastAsia="Arial Unicode MS" w:cs="Arial"/>
            <w:bCs/>
            <w:sz w:val="18"/>
            <w:szCs w:val="36"/>
            <w:lang w:val="es-ES"/>
          </w:rPr>
          <w:t xml:space="preserve">Página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PAGE</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Work Sans" w:hAnsi="Work Sans" w:eastAsia="Arial Unicode MS" w:cs="Arial"/>
            <w:bCs/>
            <w:sz w:val="18"/>
            <w:szCs w:val="36"/>
            <w:lang w:val="es-ES"/>
          </w:rPr>
          <w:t xml:space="preserve"> de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NUMPAGES</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Arial" w:hAnsi="Arial" w:eastAsia="Arial Unicode MS" w:cs="Arial"/>
            <w:bCs/>
            <w:sz w:val="32"/>
            <w:szCs w:val="36"/>
            <w:lang w:val="es-ES"/>
          </w:rPr>
          <w:br/>
        </w:r>
        <w:r>
          <w:rPr>
            <w:rFonts w:ascii="Free 3 of 9" w:hAnsi="Free 3 of 9" w:eastAsia="Arial Unicode MS" w:cs="Arial"/>
            <w:sz w:val="36"/>
            <w:szCs w:val="36"/>
            <w:lang w:val="es-ES"/>
          </w:rPr>
          <w:t>RAD_BARRAS</w:t>
        </w:r>
      </w:p>
      <w:p w:rsidR="00DE1913" w:rsidRDefault="003B2B73" w14:paraId="30AD4C9B" w14:textId="77777777">
        <w:pPr>
          <w:tabs>
            <w:tab w:val="left" w:pos="1485"/>
          </w:tabs>
          <w:snapToGrid w:val="0"/>
          <w:spacing w:after="0" w:line="240" w:lineRule="auto"/>
          <w:jc w:val="right"/>
          <w:textAlignment w:val="baseline"/>
          <w:rPr>
            <w:rFonts w:ascii="Work Sans" w:hAnsi="Work Sans" w:cs="Arial"/>
            <w:sz w:val="18"/>
            <w:szCs w:val="20"/>
          </w:rPr>
        </w:pPr>
        <w:r>
          <w:rPr>
            <w:rFonts w:ascii="Work Sans" w:hAnsi="Work Sans" w:eastAsia="Arial Unicode MS" w:cs="Arial"/>
            <w:sz w:val="18"/>
            <w:szCs w:val="20"/>
            <w:lang w:val="es-ES"/>
          </w:rPr>
          <w:t>Radicado No.: rad_s</w:t>
        </w:r>
      </w:p>
      <w:p w:rsidR="00DE1913" w:rsidRDefault="003B2B73" w14:paraId="0360A91C" w14:textId="77777777">
        <w:pPr>
          <w:tabs>
            <w:tab w:val="left" w:pos="1354"/>
            <w:tab w:val="left" w:pos="1485"/>
            <w:tab w:val="right" w:pos="9404"/>
          </w:tabs>
          <w:snapToGrid w:val="0"/>
          <w:spacing w:after="0" w:line="240" w:lineRule="auto"/>
          <w:jc w:val="right"/>
          <w:textAlignment w:val="baseline"/>
          <w:rPr>
            <w:rFonts w:ascii="Arial" w:hAnsi="Arial" w:eastAsia="Times New Roman" w:cs="Arial"/>
            <w:sz w:val="16"/>
            <w:lang w:val="es-ES"/>
          </w:rPr>
        </w:pP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Work Sans" w:hAnsi="Work Sans" w:eastAsia="Arial Unicode MS" w:cs="Arial"/>
            <w:iCs/>
            <w:sz w:val="18"/>
            <w:szCs w:val="20"/>
            <w:lang w:val="es-ES"/>
          </w:rPr>
          <w:t>Fecha: fecha_r</w:t>
        </w:r>
      </w:p>
    </w:sdtContent>
  </w:sdt>
  <w:p w:rsidR="00DE1913" w:rsidRDefault="00DE1913" w14:paraId="2E443FA2" w14:textId="77777777">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561DD2"/>
    <w:multiLevelType w:val="hybridMultilevel"/>
    <w:tmpl w:val="DBBA1A4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3BF84BBB"/>
    <w:multiLevelType w:val="hybridMultilevel"/>
    <w:tmpl w:val="23BC4DDC"/>
    <w:lvl w:ilvl="0" w:tplc="240A0001">
      <w:start w:val="1"/>
      <w:numFmt w:val="bullet"/>
      <w:lvlText w:val=""/>
      <w:lvlJc w:val="left"/>
      <w:pPr>
        <w:ind w:left="1146" w:hanging="360"/>
      </w:pPr>
      <w:rPr>
        <w:rFonts w:hint="default" w:ascii="Symbol" w:hAnsi="Symbol"/>
      </w:rPr>
    </w:lvl>
    <w:lvl w:ilvl="1" w:tplc="240A0003" w:tentative="1">
      <w:start w:val="1"/>
      <w:numFmt w:val="bullet"/>
      <w:lvlText w:val="o"/>
      <w:lvlJc w:val="left"/>
      <w:pPr>
        <w:ind w:left="1866" w:hanging="360"/>
      </w:pPr>
      <w:rPr>
        <w:rFonts w:hint="default" w:ascii="Courier New" w:hAnsi="Courier New" w:cs="Courier New"/>
      </w:rPr>
    </w:lvl>
    <w:lvl w:ilvl="2" w:tplc="240A0005" w:tentative="1">
      <w:start w:val="1"/>
      <w:numFmt w:val="bullet"/>
      <w:lvlText w:val=""/>
      <w:lvlJc w:val="left"/>
      <w:pPr>
        <w:ind w:left="2586" w:hanging="360"/>
      </w:pPr>
      <w:rPr>
        <w:rFonts w:hint="default" w:ascii="Wingdings" w:hAnsi="Wingdings"/>
      </w:rPr>
    </w:lvl>
    <w:lvl w:ilvl="3" w:tplc="240A0001" w:tentative="1">
      <w:start w:val="1"/>
      <w:numFmt w:val="bullet"/>
      <w:lvlText w:val=""/>
      <w:lvlJc w:val="left"/>
      <w:pPr>
        <w:ind w:left="3306" w:hanging="360"/>
      </w:pPr>
      <w:rPr>
        <w:rFonts w:hint="default" w:ascii="Symbol" w:hAnsi="Symbol"/>
      </w:rPr>
    </w:lvl>
    <w:lvl w:ilvl="4" w:tplc="240A0003" w:tentative="1">
      <w:start w:val="1"/>
      <w:numFmt w:val="bullet"/>
      <w:lvlText w:val="o"/>
      <w:lvlJc w:val="left"/>
      <w:pPr>
        <w:ind w:left="4026" w:hanging="360"/>
      </w:pPr>
      <w:rPr>
        <w:rFonts w:hint="default" w:ascii="Courier New" w:hAnsi="Courier New" w:cs="Courier New"/>
      </w:rPr>
    </w:lvl>
    <w:lvl w:ilvl="5" w:tplc="240A0005" w:tentative="1">
      <w:start w:val="1"/>
      <w:numFmt w:val="bullet"/>
      <w:lvlText w:val=""/>
      <w:lvlJc w:val="left"/>
      <w:pPr>
        <w:ind w:left="4746" w:hanging="360"/>
      </w:pPr>
      <w:rPr>
        <w:rFonts w:hint="default" w:ascii="Wingdings" w:hAnsi="Wingdings"/>
      </w:rPr>
    </w:lvl>
    <w:lvl w:ilvl="6" w:tplc="240A0001" w:tentative="1">
      <w:start w:val="1"/>
      <w:numFmt w:val="bullet"/>
      <w:lvlText w:val=""/>
      <w:lvlJc w:val="left"/>
      <w:pPr>
        <w:ind w:left="5466" w:hanging="360"/>
      </w:pPr>
      <w:rPr>
        <w:rFonts w:hint="default" w:ascii="Symbol" w:hAnsi="Symbol"/>
      </w:rPr>
    </w:lvl>
    <w:lvl w:ilvl="7" w:tplc="240A0003" w:tentative="1">
      <w:start w:val="1"/>
      <w:numFmt w:val="bullet"/>
      <w:lvlText w:val="o"/>
      <w:lvlJc w:val="left"/>
      <w:pPr>
        <w:ind w:left="6186" w:hanging="360"/>
      </w:pPr>
      <w:rPr>
        <w:rFonts w:hint="default" w:ascii="Courier New" w:hAnsi="Courier New" w:cs="Courier New"/>
      </w:rPr>
    </w:lvl>
    <w:lvl w:ilvl="8" w:tplc="240A0005" w:tentative="1">
      <w:start w:val="1"/>
      <w:numFmt w:val="bullet"/>
      <w:lvlText w:val=""/>
      <w:lvlJc w:val="left"/>
      <w:pPr>
        <w:ind w:left="6906" w:hanging="360"/>
      </w:pPr>
      <w:rPr>
        <w:rFonts w:hint="default" w:ascii="Wingdings" w:hAnsi="Wingdings"/>
      </w:rPr>
    </w:lvl>
  </w:abstractNum>
  <w:abstractNum w:abstractNumId="2" w15:restartNumberingAfterBreak="0">
    <w:nsid w:val="4645086E"/>
    <w:multiLevelType w:val="hybridMultilevel"/>
    <w:tmpl w:val="1E12D7D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67504047">
    <w:abstractNumId w:val="1"/>
  </w:num>
  <w:num w:numId="2" w16cid:durableId="1722483622">
    <w:abstractNumId w:val="0"/>
  </w:num>
  <w:num w:numId="3" w16cid:durableId="409697056">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0"/>
  <w:trackRevisions w:val="fals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137E7"/>
    <w:rsid w:val="00024DD5"/>
    <w:rsid w:val="00027169"/>
    <w:rsid w:val="0003786A"/>
    <w:rsid w:val="000418C8"/>
    <w:rsid w:val="000438DA"/>
    <w:rsid w:val="000441BA"/>
    <w:rsid w:val="00047280"/>
    <w:rsid w:val="0005097B"/>
    <w:rsid w:val="00087CF8"/>
    <w:rsid w:val="000A4DD4"/>
    <w:rsid w:val="000C2220"/>
    <w:rsid w:val="000C64A1"/>
    <w:rsid w:val="000E09E6"/>
    <w:rsid w:val="000F47F2"/>
    <w:rsid w:val="0011233E"/>
    <w:rsid w:val="00112628"/>
    <w:rsid w:val="00124BE9"/>
    <w:rsid w:val="00143AD1"/>
    <w:rsid w:val="001503DA"/>
    <w:rsid w:val="00154239"/>
    <w:rsid w:val="001818F1"/>
    <w:rsid w:val="0019184C"/>
    <w:rsid w:val="001B22E0"/>
    <w:rsid w:val="001D40BC"/>
    <w:rsid w:val="001E7743"/>
    <w:rsid w:val="0020047A"/>
    <w:rsid w:val="00207F20"/>
    <w:rsid w:val="00225DE7"/>
    <w:rsid w:val="002275CE"/>
    <w:rsid w:val="00230ACF"/>
    <w:rsid w:val="002478C2"/>
    <w:rsid w:val="00262ACE"/>
    <w:rsid w:val="002738CD"/>
    <w:rsid w:val="002748D4"/>
    <w:rsid w:val="0027609F"/>
    <w:rsid w:val="002769D3"/>
    <w:rsid w:val="002A4906"/>
    <w:rsid w:val="002C3BB9"/>
    <w:rsid w:val="002C404E"/>
    <w:rsid w:val="002C5370"/>
    <w:rsid w:val="002D7764"/>
    <w:rsid w:val="002E322F"/>
    <w:rsid w:val="002E3ED6"/>
    <w:rsid w:val="002F664E"/>
    <w:rsid w:val="00300006"/>
    <w:rsid w:val="00304E09"/>
    <w:rsid w:val="003121A9"/>
    <w:rsid w:val="00312E7E"/>
    <w:rsid w:val="00317D76"/>
    <w:rsid w:val="00326038"/>
    <w:rsid w:val="00351FE0"/>
    <w:rsid w:val="00352BC7"/>
    <w:rsid w:val="003A075D"/>
    <w:rsid w:val="003A2D49"/>
    <w:rsid w:val="003A6F8B"/>
    <w:rsid w:val="003B2B73"/>
    <w:rsid w:val="003D2406"/>
    <w:rsid w:val="003E7887"/>
    <w:rsid w:val="003F7A72"/>
    <w:rsid w:val="00404B96"/>
    <w:rsid w:val="004110BF"/>
    <w:rsid w:val="00426473"/>
    <w:rsid w:val="00426C91"/>
    <w:rsid w:val="00461D0C"/>
    <w:rsid w:val="00472A63"/>
    <w:rsid w:val="004765FF"/>
    <w:rsid w:val="00484A5A"/>
    <w:rsid w:val="00496E70"/>
    <w:rsid w:val="004B6836"/>
    <w:rsid w:val="004C2B7B"/>
    <w:rsid w:val="004E793C"/>
    <w:rsid w:val="004F6A00"/>
    <w:rsid w:val="0050008F"/>
    <w:rsid w:val="005109B7"/>
    <w:rsid w:val="0051129D"/>
    <w:rsid w:val="00521242"/>
    <w:rsid w:val="005225C6"/>
    <w:rsid w:val="005239B8"/>
    <w:rsid w:val="00541B3B"/>
    <w:rsid w:val="005421FE"/>
    <w:rsid w:val="005617AA"/>
    <w:rsid w:val="005646C4"/>
    <w:rsid w:val="00573A8F"/>
    <w:rsid w:val="00581F4F"/>
    <w:rsid w:val="00583DF2"/>
    <w:rsid w:val="005849F9"/>
    <w:rsid w:val="0058748E"/>
    <w:rsid w:val="00594B9B"/>
    <w:rsid w:val="005B1599"/>
    <w:rsid w:val="005B2F67"/>
    <w:rsid w:val="005B6D8F"/>
    <w:rsid w:val="005D2BCB"/>
    <w:rsid w:val="005D36DB"/>
    <w:rsid w:val="005D3BAD"/>
    <w:rsid w:val="005D6D39"/>
    <w:rsid w:val="005D7858"/>
    <w:rsid w:val="005F373A"/>
    <w:rsid w:val="005F44D9"/>
    <w:rsid w:val="00607364"/>
    <w:rsid w:val="006076CC"/>
    <w:rsid w:val="00620E17"/>
    <w:rsid w:val="00626C7F"/>
    <w:rsid w:val="00637147"/>
    <w:rsid w:val="00640E5A"/>
    <w:rsid w:val="0065134E"/>
    <w:rsid w:val="00651A6C"/>
    <w:rsid w:val="00660041"/>
    <w:rsid w:val="006728DD"/>
    <w:rsid w:val="006971B9"/>
    <w:rsid w:val="006B14F2"/>
    <w:rsid w:val="006B6841"/>
    <w:rsid w:val="006E334F"/>
    <w:rsid w:val="006E645B"/>
    <w:rsid w:val="007514D7"/>
    <w:rsid w:val="00754A28"/>
    <w:rsid w:val="00756167"/>
    <w:rsid w:val="0076312C"/>
    <w:rsid w:val="00785085"/>
    <w:rsid w:val="007A4AD9"/>
    <w:rsid w:val="007A5A72"/>
    <w:rsid w:val="007F344F"/>
    <w:rsid w:val="00822AC6"/>
    <w:rsid w:val="00830730"/>
    <w:rsid w:val="00841EF3"/>
    <w:rsid w:val="00865C7D"/>
    <w:rsid w:val="00881ED4"/>
    <w:rsid w:val="00882774"/>
    <w:rsid w:val="00892C0E"/>
    <w:rsid w:val="008C42D4"/>
    <w:rsid w:val="008C5CCD"/>
    <w:rsid w:val="008E4ABF"/>
    <w:rsid w:val="0091404F"/>
    <w:rsid w:val="009321D3"/>
    <w:rsid w:val="009359F1"/>
    <w:rsid w:val="00981241"/>
    <w:rsid w:val="00981428"/>
    <w:rsid w:val="00986EAD"/>
    <w:rsid w:val="009C63C2"/>
    <w:rsid w:val="009C7E94"/>
    <w:rsid w:val="009D2404"/>
    <w:rsid w:val="009E002F"/>
    <w:rsid w:val="009E5228"/>
    <w:rsid w:val="009F0E5F"/>
    <w:rsid w:val="009F7F16"/>
    <w:rsid w:val="00A12D60"/>
    <w:rsid w:val="00A12DFD"/>
    <w:rsid w:val="00A2229D"/>
    <w:rsid w:val="00A3590E"/>
    <w:rsid w:val="00A3784A"/>
    <w:rsid w:val="00A40F65"/>
    <w:rsid w:val="00A64EA5"/>
    <w:rsid w:val="00A70EEE"/>
    <w:rsid w:val="00A81C5D"/>
    <w:rsid w:val="00A82FE6"/>
    <w:rsid w:val="00A86526"/>
    <w:rsid w:val="00A963A3"/>
    <w:rsid w:val="00AA228B"/>
    <w:rsid w:val="00AB13B0"/>
    <w:rsid w:val="00AB1B55"/>
    <w:rsid w:val="00AD43C1"/>
    <w:rsid w:val="00B12F52"/>
    <w:rsid w:val="00B234F0"/>
    <w:rsid w:val="00B24C03"/>
    <w:rsid w:val="00B26C57"/>
    <w:rsid w:val="00B2729E"/>
    <w:rsid w:val="00B4250F"/>
    <w:rsid w:val="00B51607"/>
    <w:rsid w:val="00B51D03"/>
    <w:rsid w:val="00B6647A"/>
    <w:rsid w:val="00B74B81"/>
    <w:rsid w:val="00B95754"/>
    <w:rsid w:val="00B97679"/>
    <w:rsid w:val="00BA3131"/>
    <w:rsid w:val="00BA7E2F"/>
    <w:rsid w:val="00BC2209"/>
    <w:rsid w:val="00BD4588"/>
    <w:rsid w:val="00BD6E5D"/>
    <w:rsid w:val="00BF6DE9"/>
    <w:rsid w:val="00C02040"/>
    <w:rsid w:val="00C0455B"/>
    <w:rsid w:val="00C07B2F"/>
    <w:rsid w:val="00C35674"/>
    <w:rsid w:val="00C37976"/>
    <w:rsid w:val="00C549DD"/>
    <w:rsid w:val="00C54DD0"/>
    <w:rsid w:val="00C67F52"/>
    <w:rsid w:val="00C77F9C"/>
    <w:rsid w:val="00C80D87"/>
    <w:rsid w:val="00CA0F20"/>
    <w:rsid w:val="00CB1369"/>
    <w:rsid w:val="00CC4760"/>
    <w:rsid w:val="00CC6814"/>
    <w:rsid w:val="00D42D6B"/>
    <w:rsid w:val="00D44EF3"/>
    <w:rsid w:val="00D6473B"/>
    <w:rsid w:val="00D67DD2"/>
    <w:rsid w:val="00D90B52"/>
    <w:rsid w:val="00D91245"/>
    <w:rsid w:val="00DA60DE"/>
    <w:rsid w:val="00DC1687"/>
    <w:rsid w:val="00DC7B37"/>
    <w:rsid w:val="00DE1913"/>
    <w:rsid w:val="00DE1B7C"/>
    <w:rsid w:val="00DE7207"/>
    <w:rsid w:val="00E113E2"/>
    <w:rsid w:val="00E16F59"/>
    <w:rsid w:val="00E23037"/>
    <w:rsid w:val="00E37AC0"/>
    <w:rsid w:val="00E44947"/>
    <w:rsid w:val="00E4543D"/>
    <w:rsid w:val="00E461C1"/>
    <w:rsid w:val="00E46FDF"/>
    <w:rsid w:val="00E52DD6"/>
    <w:rsid w:val="00E555DA"/>
    <w:rsid w:val="00E66299"/>
    <w:rsid w:val="00E761BB"/>
    <w:rsid w:val="00E823F2"/>
    <w:rsid w:val="00E92369"/>
    <w:rsid w:val="00E972A5"/>
    <w:rsid w:val="00EB3862"/>
    <w:rsid w:val="00EC5EC2"/>
    <w:rsid w:val="00ED7838"/>
    <w:rsid w:val="00EE19C3"/>
    <w:rsid w:val="00EE2B14"/>
    <w:rsid w:val="00EE34B4"/>
    <w:rsid w:val="00F0090C"/>
    <w:rsid w:val="00F27B0A"/>
    <w:rsid w:val="00F3392F"/>
    <w:rsid w:val="00F35C85"/>
    <w:rsid w:val="00F763B6"/>
    <w:rsid w:val="00F80A1F"/>
    <w:rsid w:val="00F9018C"/>
    <w:rsid w:val="00F94C11"/>
    <w:rsid w:val="00FA439A"/>
    <w:rsid w:val="00FD392C"/>
    <w:rsid w:val="00FD75B5"/>
    <w:rsid w:val="00FE6194"/>
    <w:rsid w:val="01CAA29D"/>
    <w:rsid w:val="0BD1E7BB"/>
    <w:rsid w:val="18E2513D"/>
    <w:rsid w:val="20914090"/>
    <w:rsid w:val="32352F7D"/>
    <w:rsid w:val="420C8726"/>
    <w:rsid w:val="445636F2"/>
    <w:rsid w:val="46E918F1"/>
    <w:rsid w:val="49FACF3F"/>
    <w:rsid w:val="4DA40231"/>
    <w:rsid w:val="5059FEB3"/>
    <w:rsid w:val="54CDA100"/>
    <w:rsid w:val="585FE95C"/>
    <w:rsid w:val="5D38DCF9"/>
    <w:rsid w:val="7C26271B"/>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D7858"/>
    <w:pPr>
      <w:spacing w:after="200" w:line="276" w:lineRule="auto"/>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EncabezadoCar" w:customStyle="1">
    <w:name w:val="Encabezado Car"/>
    <w:basedOn w:val="Fuentedeprrafopredeter"/>
    <w:link w:val="Encabezado"/>
    <w:uiPriority w:val="99"/>
    <w:qFormat/>
    <w:rsid w:val="004B5EF3"/>
  </w:style>
  <w:style w:type="character" w:styleId="PiedepginaCar" w:customStyle="1">
    <w:name w:val="Pie de página Car"/>
    <w:basedOn w:val="Fuentedeprrafopredeter"/>
    <w:link w:val="Piedepgina"/>
    <w:uiPriority w:val="99"/>
    <w:qFormat/>
    <w:rsid w:val="004B5EF3"/>
  </w:style>
  <w:style w:type="character" w:styleId="TextoindependienteCar" w:customStyle="1">
    <w:name w:val="Texto independiente Car"/>
    <w:basedOn w:val="Fuentedeprrafopredeter"/>
    <w:link w:val="Textoindependiente"/>
    <w:qFormat/>
    <w:rsid w:val="004B5EF3"/>
    <w:rPr>
      <w:rFonts w:ascii="Arial" w:hAnsi="Arial" w:eastAsia="Times New Roman" w:cs="Times New Roman"/>
      <w:sz w:val="24"/>
      <w:szCs w:val="20"/>
      <w:lang w:val="es-ES_tradnl" w:eastAsia="es-ES"/>
    </w:rPr>
  </w:style>
  <w:style w:type="character" w:styleId="TextoindependienteCar1" w:customStyle="1">
    <w:name w:val="Texto independiente Car1"/>
    <w:basedOn w:val="Fuentedeprrafopredeter"/>
    <w:uiPriority w:val="99"/>
    <w:semiHidden/>
    <w:qFormat/>
    <w:rsid w:val="004B5EF3"/>
  </w:style>
  <w:style w:type="character" w:styleId="EncabezadoCar1" w:customStyle="1">
    <w:name w:val="Encabezado Car1"/>
    <w:basedOn w:val="Fuentedeprrafopredeter"/>
    <w:uiPriority w:val="99"/>
    <w:semiHidden/>
    <w:qFormat/>
    <w:rsid w:val="004B5EF3"/>
  </w:style>
  <w:style w:type="character" w:styleId="PiedepginaCar1" w:customStyle="1">
    <w:name w:val="Pie de página Car1"/>
    <w:basedOn w:val="Fuentedeprrafopredeter"/>
    <w:uiPriority w:val="99"/>
    <w:semiHidden/>
    <w:qFormat/>
    <w:rsid w:val="004B5EF3"/>
  </w:style>
  <w:style w:type="paragraph" w:styleId="Ttulo1" w:customStyle="1">
    <w:name w:val="Título1"/>
    <w:basedOn w:val="Normal"/>
    <w:next w:val="Textoindependiente"/>
    <w:qFormat/>
    <w:pPr>
      <w:keepNext/>
      <w:spacing w:before="240" w:after="120"/>
    </w:pPr>
    <w:rPr>
      <w:rFonts w:ascii="Liberation Sans" w:hAnsi="Liberation Sans" w:eastAsia="Bitstream Vera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hAnsi="Arial" w:eastAsia="Times New Roman"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 w:type="character" w:styleId="Refdecomentario">
    <w:name w:val="annotation reference"/>
    <w:basedOn w:val="Fuentedeprrafopredeter"/>
    <w:uiPriority w:val="99"/>
    <w:semiHidden/>
    <w:unhideWhenUsed/>
    <w:rsid w:val="0058748E"/>
    <w:rPr>
      <w:sz w:val="16"/>
      <w:szCs w:val="16"/>
    </w:rPr>
  </w:style>
  <w:style w:type="paragraph" w:styleId="Textocomentario">
    <w:name w:val="annotation text"/>
    <w:basedOn w:val="Normal"/>
    <w:link w:val="TextocomentarioCar"/>
    <w:uiPriority w:val="99"/>
    <w:unhideWhenUsed/>
    <w:rsid w:val="0058748E"/>
    <w:pPr>
      <w:spacing w:line="240" w:lineRule="auto"/>
    </w:pPr>
    <w:rPr>
      <w:sz w:val="20"/>
      <w:szCs w:val="20"/>
    </w:rPr>
  </w:style>
  <w:style w:type="character" w:styleId="TextocomentarioCar" w:customStyle="1">
    <w:name w:val="Texto comentario Car"/>
    <w:basedOn w:val="Fuentedeprrafopredeter"/>
    <w:link w:val="Textocomentario"/>
    <w:uiPriority w:val="99"/>
    <w:rsid w:val="0058748E"/>
    <w:rPr>
      <w:sz w:val="20"/>
      <w:szCs w:val="20"/>
    </w:rPr>
  </w:style>
  <w:style w:type="paragraph" w:styleId="Asuntodelcomentario">
    <w:name w:val="annotation subject"/>
    <w:basedOn w:val="Textocomentario"/>
    <w:next w:val="Textocomentario"/>
    <w:link w:val="AsuntodelcomentarioCar"/>
    <w:uiPriority w:val="99"/>
    <w:semiHidden/>
    <w:unhideWhenUsed/>
    <w:rsid w:val="0058748E"/>
    <w:rPr>
      <w:b/>
      <w:bCs/>
    </w:rPr>
  </w:style>
  <w:style w:type="character" w:styleId="AsuntodelcomentarioCar" w:customStyle="1">
    <w:name w:val="Asunto del comentario Car"/>
    <w:basedOn w:val="TextocomentarioCar"/>
    <w:link w:val="Asuntodelcomentario"/>
    <w:uiPriority w:val="99"/>
    <w:semiHidden/>
    <w:rsid w:val="0058748E"/>
    <w:rPr>
      <w:b/>
      <w:bCs/>
      <w:sz w:val="20"/>
      <w:szCs w:val="20"/>
    </w:rPr>
  </w:style>
  <w:style w:type="paragraph" w:styleId="Revisin">
    <w:name w:val="Revision"/>
    <w:hidden/>
    <w:uiPriority w:val="99"/>
    <w:semiHidden/>
    <w:rsid w:val="00FD75B5"/>
    <w:pPr>
      <w:suppressAutoHyphens w:val="0"/>
    </w:pPr>
  </w:style>
  <w:style w:type="character" w:styleId="whitespace-normal" w:customStyle="1">
    <w:name w:val="whitespace-normal"/>
    <w:basedOn w:val="Fuentedeprrafopredeter"/>
    <w:rsid w:val="00541B3B"/>
  </w:style>
  <w:style w:type="paragraph" w:styleId="Prrafodelista">
    <w:name w:val="List Paragraph"/>
    <w:aliases w:val="EY EPM - Lista,Numerado informes,Bibliografía Tesis,VIÑETAS,Nota,Bolita,BOLADEF,BOLA,Guión,Titulo 8,Párrafo de lista21,HOJA,Chulito,Párrafo de lista31,BOLITA,Lista vistosa - Énfasis 11,Viñeta 2,Bola,Titulo1,items"/>
    <w:basedOn w:val="Normal"/>
    <w:link w:val="PrrafodelistaCar"/>
    <w:uiPriority w:val="34"/>
    <w:qFormat/>
    <w:rsid w:val="00300006"/>
    <w:pPr>
      <w:ind w:left="720"/>
      <w:contextualSpacing/>
    </w:pPr>
  </w:style>
  <w:style w:type="character" w:styleId="PrrafodelistaCar" w:customStyle="1">
    <w:name w:val="Párrafo de lista Car"/>
    <w:aliases w:val="EY EPM - Lista Car,Numerado informes Car,Bibliografía Tesis Car,VIÑETAS Car,Nota Car,Bolita Car,BOLADEF Car,BOLA Car,Guión Car,Titulo 8 Car,Párrafo de lista21 Car,HOJA Car,Chulito Car,Párrafo de lista31 Car,BOLITA Car,Viñeta 2 Car"/>
    <w:link w:val="Prrafodelista"/>
    <w:uiPriority w:val="34"/>
    <w:locked/>
    <w:rsid w:val="00300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microsoft.com/office/2011/relationships/commentsExtended" Target="commentsExtended.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footer" Target="footer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1.xm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webSettings" Target="webSettings.xml" Id="rId4" /><Relationship Type="http://schemas.microsoft.com/office/2016/09/relationships/commentsIds" Target="commentsIds.xml" Id="rId9" /><Relationship Type="http://schemas.microsoft.com/office/2011/relationships/people" Target="peop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Comunicación Oficial</dc:title>
  <dc:subject>Comunicación Oficial</dc:subject>
  <dc:creator>Ministerio de Minas y Energía</dc:creator>
  <dc:description/>
  <lastModifiedBy>NICOLAS JAVIER LEON BALLESTEROS</lastModifiedBy>
  <revision>10</revision>
  <dcterms:created xsi:type="dcterms:W3CDTF">2026-06-01T19:41:00.0000000Z</dcterms:created>
  <dcterms:modified xsi:type="dcterms:W3CDTF">2026-06-04T15:36:51.5789903Z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